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F0641" w14:textId="77777777" w:rsidR="00903EC6" w:rsidRPr="006F5CCF" w:rsidRDefault="006B6602" w:rsidP="006B6602">
      <w:pPr>
        <w:ind w:left="792" w:hanging="432"/>
        <w:jc w:val="center"/>
        <w:rPr>
          <w:b/>
          <w:bCs/>
          <w:color w:val="000000" w:themeColor="text1"/>
          <w:sz w:val="28"/>
          <w:szCs w:val="28"/>
        </w:rPr>
      </w:pPr>
      <w:r w:rsidRPr="006F5CCF">
        <w:rPr>
          <w:b/>
          <w:bCs/>
          <w:color w:val="000000" w:themeColor="text1"/>
          <w:sz w:val="28"/>
          <w:szCs w:val="28"/>
        </w:rPr>
        <w:t xml:space="preserve">Prove di </w:t>
      </w:r>
      <w:r w:rsidR="00676E51" w:rsidRPr="006F5CCF">
        <w:rPr>
          <w:b/>
          <w:bCs/>
          <w:color w:val="000000" w:themeColor="text1"/>
          <w:sz w:val="28"/>
          <w:szCs w:val="28"/>
        </w:rPr>
        <w:t>verifica</w:t>
      </w:r>
      <w:r w:rsidRPr="006F5CCF">
        <w:rPr>
          <w:b/>
          <w:bCs/>
          <w:color w:val="000000" w:themeColor="text1"/>
          <w:sz w:val="28"/>
          <w:szCs w:val="28"/>
        </w:rPr>
        <w:t xml:space="preserve"> </w:t>
      </w:r>
      <w:r w:rsidR="00903EC6" w:rsidRPr="006F5CCF">
        <w:rPr>
          <w:b/>
          <w:bCs/>
          <w:color w:val="000000" w:themeColor="text1"/>
          <w:sz w:val="28"/>
          <w:szCs w:val="28"/>
        </w:rPr>
        <w:t xml:space="preserve">nella scuola primaria. </w:t>
      </w:r>
    </w:p>
    <w:p w14:paraId="3DDE2FAD" w14:textId="0EA5572C" w:rsidR="006B6602" w:rsidRPr="006F5CCF" w:rsidRDefault="00903EC6" w:rsidP="006B6602">
      <w:pPr>
        <w:ind w:left="792" w:hanging="432"/>
        <w:jc w:val="center"/>
        <w:rPr>
          <w:b/>
          <w:bCs/>
          <w:color w:val="000000" w:themeColor="text1"/>
          <w:sz w:val="28"/>
          <w:szCs w:val="28"/>
        </w:rPr>
      </w:pPr>
      <w:r w:rsidRPr="006F5CCF">
        <w:rPr>
          <w:b/>
          <w:bCs/>
          <w:color w:val="000000" w:themeColor="text1"/>
          <w:sz w:val="28"/>
          <w:szCs w:val="28"/>
        </w:rPr>
        <w:t>A</w:t>
      </w:r>
      <w:r w:rsidR="001B05E2" w:rsidRPr="006F5CCF">
        <w:rPr>
          <w:b/>
          <w:bCs/>
          <w:color w:val="000000" w:themeColor="text1"/>
          <w:sz w:val="28"/>
          <w:szCs w:val="28"/>
        </w:rPr>
        <w:t>nalisi documentale</w:t>
      </w:r>
      <w:r w:rsidRPr="006F5CCF">
        <w:rPr>
          <w:b/>
          <w:bCs/>
          <w:color w:val="000000" w:themeColor="text1"/>
          <w:sz w:val="28"/>
          <w:szCs w:val="28"/>
        </w:rPr>
        <w:t xml:space="preserve"> </w:t>
      </w:r>
      <w:r w:rsidR="006F5CCF" w:rsidRPr="006F5CCF">
        <w:rPr>
          <w:b/>
          <w:bCs/>
          <w:color w:val="000000" w:themeColor="text1"/>
          <w:sz w:val="28"/>
          <w:szCs w:val="28"/>
        </w:rPr>
        <w:t>delle</w:t>
      </w:r>
      <w:r w:rsidRPr="006F5CCF">
        <w:rPr>
          <w:b/>
          <w:bCs/>
          <w:color w:val="000000" w:themeColor="text1"/>
          <w:sz w:val="28"/>
          <w:szCs w:val="28"/>
        </w:rPr>
        <w:t xml:space="preserve"> prove carta-e-matita e tratte dai libri di testo</w:t>
      </w:r>
    </w:p>
    <w:p w14:paraId="2193967B" w14:textId="5FDB97D9" w:rsidR="006B6602" w:rsidRPr="007E4168" w:rsidRDefault="003674AE" w:rsidP="00C02163">
      <w:pPr>
        <w:ind w:left="792" w:hanging="432"/>
        <w:jc w:val="center"/>
        <w:rPr>
          <w:vertAlign w:val="superscript"/>
          <w:lang w:val="en-US"/>
        </w:rPr>
      </w:pPr>
      <w:r w:rsidRPr="007E4168">
        <w:rPr>
          <w:lang w:val="en-US"/>
        </w:rPr>
        <w:t>AUTHOR 1</w:t>
      </w:r>
      <w:r w:rsidR="00C02163" w:rsidRPr="007E4168">
        <w:rPr>
          <w:vertAlign w:val="superscript"/>
          <w:lang w:val="en-US"/>
        </w:rPr>
        <w:t>1</w:t>
      </w:r>
      <w:r w:rsidR="00C02163" w:rsidRPr="007E4168">
        <w:rPr>
          <w:lang w:val="en-US"/>
        </w:rPr>
        <w:t xml:space="preserve">, </w:t>
      </w:r>
      <w:r w:rsidRPr="007E4168">
        <w:rPr>
          <w:lang w:val="en-US"/>
        </w:rPr>
        <w:t>AUTHOR 2</w:t>
      </w:r>
      <w:r w:rsidR="00C02163" w:rsidRPr="007E4168">
        <w:rPr>
          <w:vertAlign w:val="superscript"/>
          <w:lang w:val="en-US"/>
        </w:rPr>
        <w:t>2</w:t>
      </w:r>
    </w:p>
    <w:p w14:paraId="4A9DF548" w14:textId="77777777" w:rsidR="000E3573" w:rsidRPr="007E4168" w:rsidRDefault="000E3573" w:rsidP="00C02163">
      <w:pPr>
        <w:ind w:left="792" w:hanging="432"/>
        <w:jc w:val="center"/>
        <w:rPr>
          <w:lang w:val="en-US"/>
        </w:rPr>
      </w:pPr>
    </w:p>
    <w:p w14:paraId="28D7A047" w14:textId="223C527B" w:rsidR="000E3573" w:rsidRPr="007E4168" w:rsidRDefault="000E3573" w:rsidP="003674AE">
      <w:pPr>
        <w:ind w:left="792" w:hanging="432"/>
        <w:rPr>
          <w:b/>
          <w:bCs/>
          <w:lang w:val="en-US"/>
        </w:rPr>
      </w:pPr>
    </w:p>
    <w:p w14:paraId="28E833DB" w14:textId="6B6821A8" w:rsidR="006B6602" w:rsidRPr="007E4168" w:rsidRDefault="00C02163" w:rsidP="006B6602">
      <w:pPr>
        <w:ind w:left="792" w:hanging="432"/>
        <w:jc w:val="both"/>
        <w:rPr>
          <w:b/>
          <w:bCs/>
          <w:lang w:val="en-US"/>
        </w:rPr>
      </w:pPr>
      <w:r w:rsidRPr="007E4168">
        <w:rPr>
          <w:b/>
          <w:bCs/>
          <w:lang w:val="en-US"/>
        </w:rPr>
        <w:t>Abstract in italiano</w:t>
      </w:r>
      <w:r w:rsidR="006B6602" w:rsidRPr="007E4168">
        <w:rPr>
          <w:b/>
          <w:bCs/>
          <w:lang w:val="en-US"/>
        </w:rPr>
        <w:t>:</w:t>
      </w:r>
    </w:p>
    <w:p w14:paraId="3D26CCD1" w14:textId="211164F8" w:rsidR="00676E51" w:rsidRPr="00FE4518" w:rsidRDefault="00952DD3" w:rsidP="00952D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 w:themeColor="text1"/>
        </w:rPr>
      </w:pPr>
      <w:r w:rsidRPr="00FE4518">
        <w:rPr>
          <w:rFonts w:eastAsia="Times New Roman"/>
          <w:color w:val="000000" w:themeColor="text1"/>
        </w:rPr>
        <w:t xml:space="preserve">L’articolo </w:t>
      </w:r>
      <w:r w:rsidR="00676E51" w:rsidRPr="00FE4518">
        <w:rPr>
          <w:rFonts w:eastAsia="Times New Roman"/>
          <w:color w:val="000000" w:themeColor="text1"/>
        </w:rPr>
        <w:t>focalizza</w:t>
      </w:r>
      <w:r w:rsidR="00BF7F5C" w:rsidRPr="00FE4518">
        <w:rPr>
          <w:rFonts w:eastAsia="Times New Roman"/>
          <w:color w:val="000000" w:themeColor="text1"/>
        </w:rPr>
        <w:t xml:space="preserve"> l’attenzione sulle </w:t>
      </w:r>
      <w:r w:rsidRPr="00FE4518">
        <w:rPr>
          <w:rFonts w:eastAsia="Times New Roman"/>
          <w:color w:val="000000" w:themeColor="text1"/>
        </w:rPr>
        <w:t xml:space="preserve">prove di </w:t>
      </w:r>
      <w:r w:rsidR="00BF7F5C" w:rsidRPr="00FE4518">
        <w:rPr>
          <w:rFonts w:eastAsia="Times New Roman"/>
          <w:color w:val="000000" w:themeColor="text1"/>
        </w:rPr>
        <w:t xml:space="preserve">verifica </w:t>
      </w:r>
      <w:r w:rsidR="00AD0B4A" w:rsidRPr="00FE4518">
        <w:rPr>
          <w:rFonts w:eastAsia="Times New Roman"/>
          <w:color w:val="000000" w:themeColor="text1"/>
        </w:rPr>
        <w:t xml:space="preserve">carta-e-matita in uso nelle scuole </w:t>
      </w:r>
      <w:r w:rsidR="00BF7F5C" w:rsidRPr="00FE4518">
        <w:rPr>
          <w:rFonts w:eastAsia="Times New Roman"/>
          <w:color w:val="000000" w:themeColor="text1"/>
        </w:rPr>
        <w:t xml:space="preserve">e su alcune questioni </w:t>
      </w:r>
      <w:r w:rsidR="00445811" w:rsidRPr="00FE4518">
        <w:rPr>
          <w:rFonts w:eastAsia="Times New Roman"/>
          <w:color w:val="000000" w:themeColor="text1"/>
        </w:rPr>
        <w:t>connesse</w:t>
      </w:r>
      <w:r w:rsidR="00BF7F5C" w:rsidRPr="00FE4518">
        <w:rPr>
          <w:rFonts w:eastAsia="Times New Roman"/>
          <w:color w:val="000000" w:themeColor="text1"/>
        </w:rPr>
        <w:t xml:space="preserve"> alla preparazione dei docenti. Dopo aver richiamato </w:t>
      </w:r>
      <w:r w:rsidR="00676E51" w:rsidRPr="00FE4518">
        <w:rPr>
          <w:rFonts w:eastAsia="Times New Roman"/>
          <w:color w:val="000000" w:themeColor="text1"/>
        </w:rPr>
        <w:t xml:space="preserve">alcuni </w:t>
      </w:r>
      <w:r w:rsidR="00BF7F5C" w:rsidRPr="00FE4518">
        <w:rPr>
          <w:rFonts w:eastAsia="Times New Roman"/>
          <w:color w:val="000000" w:themeColor="text1"/>
        </w:rPr>
        <w:t xml:space="preserve">criteri e tassonomie </w:t>
      </w:r>
      <w:r w:rsidR="00AD0B4A" w:rsidRPr="00FE4518">
        <w:rPr>
          <w:rFonts w:eastAsia="Times New Roman"/>
          <w:color w:val="000000" w:themeColor="text1"/>
        </w:rPr>
        <w:t xml:space="preserve">di qualità </w:t>
      </w:r>
      <w:r w:rsidR="00BF7F5C" w:rsidRPr="00FE4518">
        <w:rPr>
          <w:rFonts w:eastAsia="Times New Roman"/>
          <w:color w:val="000000" w:themeColor="text1"/>
        </w:rPr>
        <w:t xml:space="preserve">suggerite dalla ricerca, il lavoro presenta </w:t>
      </w:r>
      <w:r w:rsidR="007A1348" w:rsidRPr="00FE4518">
        <w:rPr>
          <w:rFonts w:eastAsia="Times New Roman"/>
          <w:color w:val="000000" w:themeColor="text1"/>
        </w:rPr>
        <w:t>i primi esiti di un’</w:t>
      </w:r>
      <w:r w:rsidR="00BF7F5C" w:rsidRPr="00FE4518">
        <w:rPr>
          <w:rFonts w:eastAsia="Times New Roman"/>
          <w:color w:val="000000" w:themeColor="text1"/>
        </w:rPr>
        <w:t>analisi documen</w:t>
      </w:r>
      <w:r w:rsidR="00AD0B4A" w:rsidRPr="00FE4518">
        <w:rPr>
          <w:rFonts w:eastAsia="Times New Roman"/>
          <w:color w:val="000000" w:themeColor="text1"/>
        </w:rPr>
        <w:t>tale condotta su un</w:t>
      </w:r>
      <w:r w:rsidR="007A1348" w:rsidRPr="00FE4518">
        <w:rPr>
          <w:rFonts w:eastAsia="Times New Roman"/>
          <w:color w:val="000000" w:themeColor="text1"/>
        </w:rPr>
        <w:t xml:space="preserve"> </w:t>
      </w:r>
      <w:r w:rsidR="00445811" w:rsidRPr="00FE4518">
        <w:rPr>
          <w:rFonts w:eastAsia="Times New Roman"/>
          <w:color w:val="000000" w:themeColor="text1"/>
        </w:rPr>
        <w:t xml:space="preserve">corpus di 15 </w:t>
      </w:r>
      <w:r w:rsidR="00BF7F5C" w:rsidRPr="00FE4518">
        <w:rPr>
          <w:rFonts w:eastAsia="Times New Roman"/>
          <w:color w:val="000000" w:themeColor="text1"/>
        </w:rPr>
        <w:t xml:space="preserve">prove di </w:t>
      </w:r>
      <w:r w:rsidR="00445811" w:rsidRPr="00FE4518">
        <w:rPr>
          <w:rFonts w:eastAsia="Times New Roman"/>
          <w:color w:val="000000" w:themeColor="text1"/>
        </w:rPr>
        <w:t>verifica comuni</w:t>
      </w:r>
      <w:r w:rsidR="00BF7F5C" w:rsidRPr="00FE4518">
        <w:rPr>
          <w:rFonts w:eastAsia="Times New Roman"/>
          <w:color w:val="000000" w:themeColor="text1"/>
        </w:rPr>
        <w:t xml:space="preserve"> di area geometrica </w:t>
      </w:r>
      <w:r w:rsidR="00676E51" w:rsidRPr="00FE4518">
        <w:rPr>
          <w:rFonts w:eastAsia="Times New Roman"/>
          <w:color w:val="000000" w:themeColor="text1"/>
        </w:rPr>
        <w:t>in uso</w:t>
      </w:r>
      <w:r w:rsidR="00BF7F5C" w:rsidRPr="00FE4518">
        <w:rPr>
          <w:rFonts w:eastAsia="Times New Roman"/>
          <w:color w:val="000000" w:themeColor="text1"/>
        </w:rPr>
        <w:t xml:space="preserve"> presso una scuola </w:t>
      </w:r>
      <w:r w:rsidR="00676E51" w:rsidRPr="00FE4518">
        <w:rPr>
          <w:rFonts w:eastAsia="Times New Roman"/>
          <w:color w:val="000000" w:themeColor="text1"/>
        </w:rPr>
        <w:t>primaria</w:t>
      </w:r>
      <w:r w:rsidR="00BF7F5C" w:rsidRPr="00FE4518">
        <w:rPr>
          <w:rFonts w:eastAsia="Times New Roman"/>
          <w:color w:val="000000" w:themeColor="text1"/>
        </w:rPr>
        <w:t xml:space="preserve"> della provincia di </w:t>
      </w:r>
      <w:r w:rsidR="007E4168">
        <w:rPr>
          <w:rFonts w:eastAsia="Times New Roman"/>
          <w:color w:val="000000" w:themeColor="text1"/>
        </w:rPr>
        <w:t>Lecco</w:t>
      </w:r>
      <w:r w:rsidR="00BF7F5C" w:rsidRPr="00FE4518">
        <w:rPr>
          <w:rFonts w:eastAsia="Times New Roman"/>
          <w:color w:val="000000" w:themeColor="text1"/>
        </w:rPr>
        <w:t xml:space="preserve">. </w:t>
      </w:r>
      <w:r w:rsidRPr="00FE4518">
        <w:rPr>
          <w:rFonts w:eastAsia="Times New Roman"/>
          <w:color w:val="000000" w:themeColor="text1"/>
        </w:rPr>
        <w:t xml:space="preserve">I risultati </w:t>
      </w:r>
      <w:r w:rsidR="007A1348" w:rsidRPr="00FE4518">
        <w:rPr>
          <w:rFonts w:eastAsia="Times New Roman"/>
          <w:color w:val="000000" w:themeColor="text1"/>
        </w:rPr>
        <w:t xml:space="preserve">fanno emergere </w:t>
      </w:r>
      <w:r w:rsidR="00AD0B4A" w:rsidRPr="00FE4518">
        <w:rPr>
          <w:rFonts w:eastAsia="Times New Roman"/>
          <w:color w:val="000000" w:themeColor="text1"/>
        </w:rPr>
        <w:t xml:space="preserve">alcuni </w:t>
      </w:r>
      <w:r w:rsidR="007A1348" w:rsidRPr="00FE4518">
        <w:rPr>
          <w:rFonts w:eastAsia="Times New Roman"/>
          <w:color w:val="000000" w:themeColor="text1"/>
        </w:rPr>
        <w:t xml:space="preserve">errori </w:t>
      </w:r>
      <w:r w:rsidR="00AD0B4A" w:rsidRPr="00FE4518">
        <w:rPr>
          <w:rFonts w:eastAsia="Times New Roman"/>
          <w:color w:val="000000" w:themeColor="text1"/>
        </w:rPr>
        <w:t xml:space="preserve">- </w:t>
      </w:r>
      <w:r w:rsidR="007A1348" w:rsidRPr="00FE4518">
        <w:rPr>
          <w:rFonts w:eastAsia="Times New Roman"/>
          <w:color w:val="000000" w:themeColor="text1"/>
        </w:rPr>
        <w:t>consegne ambigue, disallineamento agli obiett</w:t>
      </w:r>
      <w:r w:rsidR="00AD0B4A" w:rsidRPr="00FE4518">
        <w:rPr>
          <w:rFonts w:eastAsia="Times New Roman"/>
          <w:color w:val="000000" w:themeColor="text1"/>
        </w:rPr>
        <w:t xml:space="preserve">ivi, iconografia non adeguata - </w:t>
      </w:r>
      <w:r w:rsidR="00C65D1F" w:rsidRPr="00FE4518">
        <w:rPr>
          <w:rFonts w:eastAsia="Times New Roman"/>
          <w:color w:val="000000" w:themeColor="text1"/>
        </w:rPr>
        <w:t xml:space="preserve">che conferma la necessità di formare </w:t>
      </w:r>
      <w:r w:rsidRPr="00FE4518">
        <w:rPr>
          <w:rFonts w:eastAsia="Times New Roman"/>
          <w:color w:val="000000" w:themeColor="text1"/>
        </w:rPr>
        <w:t xml:space="preserve">docenti </w:t>
      </w:r>
      <w:r w:rsidR="00C65D1F" w:rsidRPr="00FE4518">
        <w:rPr>
          <w:rFonts w:eastAsia="Times New Roman"/>
          <w:color w:val="000000" w:themeColor="text1"/>
        </w:rPr>
        <w:t>alla costruzione e alla scelta di prove di valutazione di qualità</w:t>
      </w:r>
      <w:r w:rsidRPr="00FE4518">
        <w:rPr>
          <w:rFonts w:eastAsia="Times New Roman"/>
          <w:color w:val="000000" w:themeColor="text1"/>
        </w:rPr>
        <w:t>.</w:t>
      </w:r>
      <w:r w:rsidR="00C02163" w:rsidRPr="00FE4518">
        <w:rPr>
          <w:rFonts w:eastAsia="Times New Roman"/>
          <w:color w:val="000000" w:themeColor="text1"/>
        </w:rPr>
        <w:t xml:space="preserve"> </w:t>
      </w:r>
    </w:p>
    <w:p w14:paraId="5AEF3BE6" w14:textId="2DEEEFB2" w:rsidR="00952DD3" w:rsidRPr="00FE4518" w:rsidRDefault="00952DD3" w:rsidP="00952DD3">
      <w:pPr>
        <w:ind w:left="792" w:hanging="432"/>
        <w:jc w:val="both"/>
        <w:rPr>
          <w:b/>
          <w:bCs/>
          <w:lang w:val="en-US"/>
        </w:rPr>
      </w:pPr>
      <w:r w:rsidRPr="00FE4518">
        <w:rPr>
          <w:b/>
          <w:bCs/>
          <w:lang w:val="en-US"/>
        </w:rPr>
        <w:t>Abstract</w:t>
      </w:r>
      <w:r w:rsidR="00C02163" w:rsidRPr="00FE4518">
        <w:rPr>
          <w:b/>
          <w:bCs/>
          <w:lang w:val="en-US"/>
        </w:rPr>
        <w:t xml:space="preserve"> in inglese</w:t>
      </w:r>
      <w:r w:rsidRPr="00FE4518">
        <w:rPr>
          <w:b/>
          <w:bCs/>
          <w:lang w:val="en-US"/>
        </w:rPr>
        <w:t>:</w:t>
      </w:r>
    </w:p>
    <w:p w14:paraId="55F6E663" w14:textId="74EBFA4B" w:rsidR="00C65D1F" w:rsidRDefault="00C65D1F" w:rsidP="00676E51">
      <w:pPr>
        <w:spacing w:line="360" w:lineRule="auto"/>
        <w:jc w:val="both"/>
        <w:rPr>
          <w:rFonts w:eastAsia="Times New Roman"/>
          <w:color w:val="000000" w:themeColor="text1"/>
          <w:highlight w:val="yellow"/>
          <w:lang w:val="en-US"/>
        </w:rPr>
      </w:pPr>
      <w:r w:rsidRPr="00FE4518">
        <w:rPr>
          <w:rFonts w:eastAsia="Times New Roman"/>
          <w:color w:val="000000" w:themeColor="text1"/>
          <w:lang w:val="en-US"/>
        </w:rPr>
        <w:t>The article focuses on the paper-and-pencil assessment tests used in schools and on some issues related to the preparation of teachers. After resuming some quality criteria and a taxonomy suggested by the research, the work</w:t>
      </w:r>
      <w:r w:rsidRPr="00C65D1F">
        <w:rPr>
          <w:rFonts w:eastAsia="Times New Roman"/>
          <w:color w:val="000000" w:themeColor="text1"/>
          <w:lang w:val="en-US"/>
        </w:rPr>
        <w:t xml:space="preserve"> presents the first results of a documentary analysis conducted on a corpus of 15 </w:t>
      </w:r>
      <w:r>
        <w:rPr>
          <w:rFonts w:eastAsia="Times New Roman"/>
          <w:color w:val="000000" w:themeColor="text1"/>
          <w:lang w:val="en-US"/>
        </w:rPr>
        <w:t xml:space="preserve">Geometry assessment tests </w:t>
      </w:r>
      <w:r w:rsidR="00FE4518">
        <w:rPr>
          <w:rFonts w:eastAsia="Times New Roman"/>
          <w:color w:val="000000" w:themeColor="text1"/>
          <w:lang w:val="en-US"/>
        </w:rPr>
        <w:t xml:space="preserve">that are </w:t>
      </w:r>
      <w:r>
        <w:rPr>
          <w:rFonts w:eastAsia="Times New Roman"/>
          <w:color w:val="000000" w:themeColor="text1"/>
          <w:lang w:val="en-US"/>
        </w:rPr>
        <w:t xml:space="preserve">used </w:t>
      </w:r>
      <w:r w:rsidR="00FE4518">
        <w:rPr>
          <w:rFonts w:eastAsia="Times New Roman"/>
          <w:color w:val="000000" w:themeColor="text1"/>
          <w:lang w:val="en-US"/>
        </w:rPr>
        <w:t xml:space="preserve">in a </w:t>
      </w:r>
      <w:r w:rsidR="00FE4518" w:rsidRPr="00C65D1F">
        <w:rPr>
          <w:rFonts w:eastAsia="Times New Roman"/>
          <w:color w:val="000000" w:themeColor="text1"/>
          <w:lang w:val="en-US"/>
        </w:rPr>
        <w:t>primary</w:t>
      </w:r>
      <w:r w:rsidRPr="00C65D1F">
        <w:rPr>
          <w:rFonts w:eastAsia="Times New Roman"/>
          <w:color w:val="000000" w:themeColor="text1"/>
          <w:lang w:val="en-US"/>
        </w:rPr>
        <w:t xml:space="preserve"> school in the </w:t>
      </w:r>
      <w:r w:rsidR="007E4168">
        <w:rPr>
          <w:rFonts w:eastAsia="Times New Roman"/>
          <w:color w:val="000000" w:themeColor="text1"/>
          <w:lang w:val="en-US"/>
        </w:rPr>
        <w:t>Lecco</w:t>
      </w:r>
      <w:r>
        <w:rPr>
          <w:rFonts w:eastAsia="Times New Roman"/>
          <w:color w:val="000000" w:themeColor="text1"/>
          <w:lang w:val="en-US"/>
        </w:rPr>
        <w:t xml:space="preserve"> district</w:t>
      </w:r>
      <w:r w:rsidRPr="00C65D1F">
        <w:rPr>
          <w:rFonts w:eastAsia="Times New Roman"/>
          <w:color w:val="000000" w:themeColor="text1"/>
          <w:lang w:val="en-US"/>
        </w:rPr>
        <w:t xml:space="preserve">. The results bring out some errors - ambiguous </w:t>
      </w:r>
      <w:r w:rsidR="00FE4518">
        <w:rPr>
          <w:rFonts w:eastAsia="Times New Roman"/>
          <w:color w:val="000000" w:themeColor="text1"/>
          <w:lang w:val="en-US"/>
        </w:rPr>
        <w:t>stem</w:t>
      </w:r>
      <w:r w:rsidRPr="00C65D1F">
        <w:rPr>
          <w:rFonts w:eastAsia="Times New Roman"/>
          <w:color w:val="000000" w:themeColor="text1"/>
          <w:lang w:val="en-US"/>
        </w:rPr>
        <w:t xml:space="preserve">, misalignment with the objectives, inadequate iconography - which confirms the need to train teachers in </w:t>
      </w:r>
      <w:r w:rsidR="00FE4518">
        <w:rPr>
          <w:rFonts w:eastAsia="Times New Roman"/>
          <w:color w:val="000000" w:themeColor="text1"/>
          <w:lang w:val="en-US"/>
        </w:rPr>
        <w:t xml:space="preserve">writing and select </w:t>
      </w:r>
      <w:r w:rsidRPr="00C65D1F">
        <w:rPr>
          <w:rFonts w:eastAsia="Times New Roman"/>
          <w:color w:val="000000" w:themeColor="text1"/>
          <w:lang w:val="en-US"/>
        </w:rPr>
        <w:t>quality assessment tests.</w:t>
      </w:r>
    </w:p>
    <w:p w14:paraId="7D03DF37" w14:textId="27477EAB" w:rsidR="006B6602" w:rsidRPr="006B6602" w:rsidRDefault="006B6602" w:rsidP="006B6602">
      <w:pPr>
        <w:ind w:left="792" w:hanging="432"/>
        <w:jc w:val="both"/>
      </w:pPr>
      <w:r w:rsidRPr="006B6602">
        <w:rPr>
          <w:b/>
          <w:bCs/>
        </w:rPr>
        <w:t xml:space="preserve">Parole chiave: </w:t>
      </w:r>
      <w:r w:rsidR="00296680">
        <w:t>strumenti per valutare</w:t>
      </w:r>
      <w:r w:rsidR="000304F7">
        <w:t>,</w:t>
      </w:r>
      <w:r w:rsidRPr="006B6602">
        <w:t xml:space="preserve"> </w:t>
      </w:r>
      <w:r w:rsidR="00296680">
        <w:t xml:space="preserve">prove di </w:t>
      </w:r>
      <w:r w:rsidR="00AD0B4A">
        <w:t>verifica</w:t>
      </w:r>
      <w:r w:rsidR="00296680">
        <w:t>, analisi documentale</w:t>
      </w:r>
    </w:p>
    <w:p w14:paraId="066FF79D" w14:textId="11D731ED" w:rsidR="006B6602" w:rsidRPr="00ED1921" w:rsidRDefault="006B6602" w:rsidP="006B6602">
      <w:pPr>
        <w:ind w:left="792" w:hanging="432"/>
        <w:jc w:val="both"/>
        <w:rPr>
          <w:b/>
          <w:bCs/>
          <w:lang w:val="en-US"/>
        </w:rPr>
      </w:pPr>
      <w:r w:rsidRPr="00ED1921">
        <w:rPr>
          <w:b/>
          <w:bCs/>
          <w:lang w:val="en-US"/>
        </w:rPr>
        <w:t xml:space="preserve">Keywords: </w:t>
      </w:r>
      <w:r w:rsidR="00ED1921" w:rsidRPr="00ED1921">
        <w:rPr>
          <w:bCs/>
          <w:lang w:val="en-US"/>
        </w:rPr>
        <w:t>assessment tools, tests, documentary analysis</w:t>
      </w:r>
    </w:p>
    <w:p w14:paraId="7887764A" w14:textId="77777777" w:rsidR="002355DF" w:rsidRPr="00ED1921" w:rsidRDefault="002355DF" w:rsidP="006B6602">
      <w:pPr>
        <w:ind w:left="792" w:hanging="432"/>
        <w:jc w:val="both"/>
        <w:rPr>
          <w:lang w:val="en-US"/>
        </w:rPr>
      </w:pPr>
    </w:p>
    <w:p w14:paraId="00B315E7" w14:textId="61452A33" w:rsidR="00C923ED" w:rsidRPr="00CF235E" w:rsidRDefault="006F47B1" w:rsidP="00CF235E">
      <w:pPr>
        <w:pStyle w:val="Titolo3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B6602">
        <w:rPr>
          <w:rFonts w:ascii="Times New Roman" w:hAnsi="Times New Roman" w:cs="Times New Roman"/>
          <w:i/>
          <w:iCs/>
          <w:sz w:val="24"/>
          <w:szCs w:val="24"/>
        </w:rPr>
        <w:t xml:space="preserve">Le </w:t>
      </w:r>
      <w:r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prove di </w:t>
      </w:r>
      <w:r w:rsidR="00326E2C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verifica</w:t>
      </w:r>
      <w:r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F253A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scolastiche</w:t>
      </w:r>
      <w:r w:rsidR="00CA6CC5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B3C92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</w:t>
      </w:r>
      <w:r w:rsidR="00077CB4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question</w:t>
      </w:r>
      <w:r w:rsidR="00B32DAD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="00BB3C92" w:rsidRP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F253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interrelate</w:t>
      </w:r>
    </w:p>
    <w:p w14:paraId="04242378" w14:textId="7C654397" w:rsidR="00CB0402" w:rsidRPr="00874B81" w:rsidRDefault="006C2062" w:rsidP="00CB04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 w:themeColor="text1"/>
        </w:rPr>
      </w:pPr>
      <w:r w:rsidRPr="00874B81">
        <w:rPr>
          <w:rFonts w:eastAsia="Times New Roman"/>
          <w:color w:val="000000" w:themeColor="text1"/>
        </w:rPr>
        <w:t xml:space="preserve">Per svolgere ‘l’azione complessa del </w:t>
      </w:r>
      <w:r w:rsidR="00FE4518">
        <w:rPr>
          <w:rFonts w:eastAsia="Times New Roman"/>
          <w:color w:val="000000" w:themeColor="text1"/>
        </w:rPr>
        <w:t>valutare’ (Calonghi, 1976</w:t>
      </w:r>
      <w:r w:rsidRPr="00874B81">
        <w:rPr>
          <w:rFonts w:eastAsia="Times New Roman"/>
          <w:color w:val="000000" w:themeColor="text1"/>
        </w:rPr>
        <w:t>, p. 19) g</w:t>
      </w:r>
      <w:r w:rsidR="00316FB8" w:rsidRPr="00874B81">
        <w:rPr>
          <w:rFonts w:eastAsia="Times New Roman"/>
          <w:color w:val="000000" w:themeColor="text1"/>
        </w:rPr>
        <w:t xml:space="preserve">li insegnanti </w:t>
      </w:r>
      <w:r w:rsidR="00D90AF5" w:rsidRPr="00874B81">
        <w:rPr>
          <w:rFonts w:eastAsia="Times New Roman"/>
          <w:color w:val="000000" w:themeColor="text1"/>
        </w:rPr>
        <w:t>a scuola ricorrono giornalmente a diverse modalità</w:t>
      </w:r>
      <w:r w:rsidR="004B0B94" w:rsidRPr="00874B81">
        <w:rPr>
          <w:rFonts w:eastAsia="Times New Roman"/>
          <w:color w:val="000000" w:themeColor="text1"/>
        </w:rPr>
        <w:t xml:space="preserve">, </w:t>
      </w:r>
      <w:r w:rsidR="00CB0402" w:rsidRPr="00874B81">
        <w:rPr>
          <w:rFonts w:eastAsia="Times New Roman"/>
          <w:color w:val="000000" w:themeColor="text1"/>
        </w:rPr>
        <w:t>per</w:t>
      </w:r>
      <w:r w:rsidR="00D90AF5" w:rsidRPr="00874B81">
        <w:rPr>
          <w:rFonts w:eastAsia="Times New Roman"/>
          <w:color w:val="000000" w:themeColor="text1"/>
        </w:rPr>
        <w:t xml:space="preserve"> </w:t>
      </w:r>
      <w:r w:rsidR="009F46EC">
        <w:rPr>
          <w:rFonts w:eastAsia="Times New Roman"/>
          <w:color w:val="000000" w:themeColor="text1"/>
        </w:rPr>
        <w:t>documentare i</w:t>
      </w:r>
      <w:r w:rsidR="00316FB8" w:rsidRPr="00874B81">
        <w:rPr>
          <w:rFonts w:eastAsia="Times New Roman"/>
          <w:color w:val="000000" w:themeColor="text1"/>
        </w:rPr>
        <w:t xml:space="preserve"> risultati </w:t>
      </w:r>
      <w:r w:rsidR="00DD7A5A" w:rsidRPr="00874B81">
        <w:rPr>
          <w:rFonts w:eastAsia="Times New Roman"/>
          <w:color w:val="000000" w:themeColor="text1"/>
        </w:rPr>
        <w:t xml:space="preserve">di apprendimento </w:t>
      </w:r>
      <w:r w:rsidR="00316FB8" w:rsidRPr="00874B81">
        <w:rPr>
          <w:rFonts w:eastAsia="Times New Roman"/>
          <w:color w:val="000000" w:themeColor="text1"/>
        </w:rPr>
        <w:t>degli studenti in class</w:t>
      </w:r>
      <w:r w:rsidR="00D90AF5" w:rsidRPr="00874B81">
        <w:rPr>
          <w:color w:val="000000" w:themeColor="text1"/>
        </w:rPr>
        <w:t>e</w:t>
      </w:r>
      <w:r w:rsidR="00517A2E" w:rsidRPr="00874B81">
        <w:rPr>
          <w:color w:val="000000" w:themeColor="text1"/>
        </w:rPr>
        <w:t xml:space="preserve">: </w:t>
      </w:r>
      <w:r w:rsidR="00D90AF5" w:rsidRPr="00874B81">
        <w:rPr>
          <w:color w:val="000000" w:themeColor="text1"/>
        </w:rPr>
        <w:t>strumenti</w:t>
      </w:r>
      <w:r w:rsidR="0082149D" w:rsidRPr="00874B81">
        <w:rPr>
          <w:color w:val="000000" w:themeColor="text1"/>
        </w:rPr>
        <w:t xml:space="preserve"> di valutazione carta-e-</w:t>
      </w:r>
      <w:r w:rsidR="00D90AF5" w:rsidRPr="00874B81">
        <w:rPr>
          <w:color w:val="000000" w:themeColor="text1"/>
        </w:rPr>
        <w:t xml:space="preserve">matita o </w:t>
      </w:r>
      <w:r w:rsidR="0082149D" w:rsidRPr="00874B81">
        <w:rPr>
          <w:color w:val="000000" w:themeColor="text1"/>
        </w:rPr>
        <w:t>reperibili</w:t>
      </w:r>
      <w:r w:rsidR="00D90AF5" w:rsidRPr="00874B81">
        <w:rPr>
          <w:color w:val="000000" w:themeColor="text1"/>
        </w:rPr>
        <w:t xml:space="preserve"> </w:t>
      </w:r>
      <w:r w:rsidR="00676E51" w:rsidRPr="00874B81">
        <w:rPr>
          <w:color w:val="000000" w:themeColor="text1"/>
        </w:rPr>
        <w:t>n</w:t>
      </w:r>
      <w:r w:rsidR="00517A2E" w:rsidRPr="00874B81">
        <w:rPr>
          <w:color w:val="000000" w:themeColor="text1"/>
        </w:rPr>
        <w:t xml:space="preserve">ei testi scolastici, </w:t>
      </w:r>
      <w:r w:rsidR="00D90AF5" w:rsidRPr="00874B81">
        <w:rPr>
          <w:color w:val="000000" w:themeColor="text1"/>
        </w:rPr>
        <w:t xml:space="preserve">osservazioni e giudizi su comportamenti </w:t>
      </w:r>
      <w:r w:rsidR="002355DF" w:rsidRPr="00874B81">
        <w:rPr>
          <w:color w:val="000000" w:themeColor="text1"/>
        </w:rPr>
        <w:t xml:space="preserve">manifesti </w:t>
      </w:r>
      <w:r w:rsidR="00D90AF5" w:rsidRPr="00874B81">
        <w:rPr>
          <w:color w:val="000000" w:themeColor="text1"/>
        </w:rPr>
        <w:t xml:space="preserve">e sui prodotti </w:t>
      </w:r>
      <w:r w:rsidR="002355DF" w:rsidRPr="00874B81">
        <w:rPr>
          <w:color w:val="000000" w:themeColor="text1"/>
        </w:rPr>
        <w:t>realizzati</w:t>
      </w:r>
      <w:r w:rsidR="00517A2E" w:rsidRPr="00874B81">
        <w:rPr>
          <w:color w:val="000000" w:themeColor="text1"/>
        </w:rPr>
        <w:t xml:space="preserve">, </w:t>
      </w:r>
      <w:r w:rsidR="00D90AF5" w:rsidRPr="00874B81">
        <w:rPr>
          <w:color w:val="000000" w:themeColor="text1"/>
        </w:rPr>
        <w:t xml:space="preserve">interviste o conversazioni più </w:t>
      </w:r>
      <w:r w:rsidR="00FE4518">
        <w:rPr>
          <w:color w:val="000000" w:themeColor="text1"/>
        </w:rPr>
        <w:t>o meno informali (Stiggins, 1988</w:t>
      </w:r>
      <w:r w:rsidR="00D90AF5" w:rsidRPr="00874B81">
        <w:rPr>
          <w:color w:val="000000" w:themeColor="text1"/>
        </w:rPr>
        <w:t>; Domenici</w:t>
      </w:r>
      <w:r w:rsidR="00EC10C1" w:rsidRPr="00874B81">
        <w:rPr>
          <w:color w:val="000000" w:themeColor="text1"/>
        </w:rPr>
        <w:t>, 2003</w:t>
      </w:r>
      <w:r w:rsidR="00D90AF5" w:rsidRPr="00874B81">
        <w:rPr>
          <w:color w:val="000000" w:themeColor="text1"/>
        </w:rPr>
        <w:t xml:space="preserve">). </w:t>
      </w:r>
      <w:r w:rsidR="002355DF" w:rsidRPr="00874B81">
        <w:rPr>
          <w:color w:val="000000" w:themeColor="text1"/>
        </w:rPr>
        <w:t xml:space="preserve">Le </w:t>
      </w:r>
      <w:r w:rsidR="002355DF" w:rsidRPr="00874B81">
        <w:rPr>
          <w:rFonts w:eastAsia="Times New Roman"/>
          <w:color w:val="000000" w:themeColor="text1"/>
        </w:rPr>
        <w:t xml:space="preserve">‘verifiche scolastiche’ (De Ketele, 1982) o ‘prove di valutazione utilizzate in ambito scolastico’ (Domenici, </w:t>
      </w:r>
      <w:r w:rsidR="00EC10C1" w:rsidRPr="001E5681">
        <w:rPr>
          <w:rFonts w:eastAsia="Times New Roman"/>
          <w:color w:val="000000" w:themeColor="text1"/>
        </w:rPr>
        <w:t>2003</w:t>
      </w:r>
      <w:r w:rsidR="002355DF" w:rsidRPr="001E5681">
        <w:rPr>
          <w:rFonts w:eastAsia="Times New Roman"/>
          <w:color w:val="000000" w:themeColor="text1"/>
        </w:rPr>
        <w:t>; Baldassarre</w:t>
      </w:r>
      <w:r w:rsidR="002355DF" w:rsidRPr="00874B81">
        <w:rPr>
          <w:rFonts w:eastAsia="Times New Roman"/>
          <w:color w:val="000000" w:themeColor="text1"/>
        </w:rPr>
        <w:t>, Forliano, 2022)</w:t>
      </w:r>
      <w:r w:rsidR="00676E51" w:rsidRPr="00874B81">
        <w:rPr>
          <w:color w:val="000000" w:themeColor="text1"/>
        </w:rPr>
        <w:t xml:space="preserve">, </w:t>
      </w:r>
      <w:r w:rsidR="00517A2E" w:rsidRPr="00874B81">
        <w:rPr>
          <w:color w:val="000000" w:themeColor="text1"/>
        </w:rPr>
        <w:t xml:space="preserve">nello </w:t>
      </w:r>
      <w:r w:rsidR="00676E51" w:rsidRPr="00874B81">
        <w:rPr>
          <w:color w:val="000000" w:themeColor="text1"/>
        </w:rPr>
        <w:t>specifico</w:t>
      </w:r>
      <w:r w:rsidR="00517A2E" w:rsidRPr="00874B81">
        <w:rPr>
          <w:color w:val="000000" w:themeColor="text1"/>
        </w:rPr>
        <w:t>,</w:t>
      </w:r>
      <w:r w:rsidR="00CB0402" w:rsidRPr="00874B81">
        <w:rPr>
          <w:rFonts w:eastAsia="Times New Roman"/>
          <w:color w:val="000000" w:themeColor="text1"/>
        </w:rPr>
        <w:t xml:space="preserve"> </w:t>
      </w:r>
      <w:r w:rsidR="00676E51" w:rsidRPr="007E4168">
        <w:rPr>
          <w:rFonts w:eastAsia="Times New Roman"/>
        </w:rPr>
        <w:t xml:space="preserve">possono essere definite </w:t>
      </w:r>
      <w:r w:rsidR="00335B4E" w:rsidRPr="007E4168">
        <w:rPr>
          <w:rFonts w:eastAsia="Times New Roman"/>
        </w:rPr>
        <w:t xml:space="preserve">come </w:t>
      </w:r>
      <w:r w:rsidR="00CB0402" w:rsidRPr="007E4168">
        <w:rPr>
          <w:rFonts w:eastAsia="Times New Roman"/>
        </w:rPr>
        <w:t>l’insieme di “mezzi-attrezzi e congegni-espedienti” (</w:t>
      </w:r>
      <w:r w:rsidR="003674AE" w:rsidRPr="007E4168">
        <w:rPr>
          <w:rFonts w:eastAsia="Times New Roman"/>
        </w:rPr>
        <w:t>AUTHOR1, 2021</w:t>
      </w:r>
      <w:r w:rsidR="00CB0402" w:rsidRPr="007E4168">
        <w:rPr>
          <w:rFonts w:eastAsia="Times New Roman"/>
        </w:rPr>
        <w:t>) scelti</w:t>
      </w:r>
      <w:r w:rsidR="00CB0402" w:rsidRPr="006B6602">
        <w:rPr>
          <w:rFonts w:eastAsia="Times New Roman"/>
        </w:rPr>
        <w:t xml:space="preserve"> </w:t>
      </w:r>
      <w:r w:rsidR="00335B4E">
        <w:rPr>
          <w:rFonts w:eastAsia="Times New Roman"/>
        </w:rPr>
        <w:t xml:space="preserve">da fonti pre-esistenti </w:t>
      </w:r>
      <w:r w:rsidR="00CB0402" w:rsidRPr="006B6602">
        <w:rPr>
          <w:rFonts w:eastAsia="Times New Roman"/>
        </w:rPr>
        <w:t>o</w:t>
      </w:r>
      <w:r w:rsidR="00676E51">
        <w:rPr>
          <w:rFonts w:eastAsia="Times New Roman"/>
        </w:rPr>
        <w:t xml:space="preserve"> elaborati </w:t>
      </w:r>
      <w:r w:rsidR="00335B4E">
        <w:rPr>
          <w:rFonts w:eastAsia="Times New Roman"/>
        </w:rPr>
        <w:t>ex-novo</w:t>
      </w:r>
      <w:r w:rsidR="00676E51">
        <w:rPr>
          <w:rFonts w:eastAsia="Times New Roman"/>
        </w:rPr>
        <w:t xml:space="preserve"> per </w:t>
      </w:r>
      <w:r w:rsidR="004B0B94">
        <w:rPr>
          <w:rFonts w:eastAsia="Times New Roman"/>
        </w:rPr>
        <w:t>r</w:t>
      </w:r>
      <w:r w:rsidR="00CB0402" w:rsidRPr="006B6602">
        <w:rPr>
          <w:rFonts w:eastAsia="Times New Roman"/>
        </w:rPr>
        <w:t>accogli</w:t>
      </w:r>
      <w:r w:rsidR="00335B4E">
        <w:rPr>
          <w:rFonts w:eastAsia="Times New Roman"/>
        </w:rPr>
        <w:t xml:space="preserve">ere informazioni in merito a </w:t>
      </w:r>
      <w:r w:rsidR="00CB0402" w:rsidRPr="006B6602">
        <w:rPr>
          <w:rFonts w:eastAsia="Times New Roman"/>
        </w:rPr>
        <w:t>conoscenze e abilità in posse</w:t>
      </w:r>
      <w:r w:rsidR="00676E51">
        <w:rPr>
          <w:rFonts w:eastAsia="Times New Roman"/>
        </w:rPr>
        <w:t xml:space="preserve">sso di studenti e studentesse e, di solito, </w:t>
      </w:r>
      <w:r w:rsidR="00CB0402" w:rsidRPr="006B6602">
        <w:rPr>
          <w:rFonts w:eastAsia="Times New Roman"/>
        </w:rPr>
        <w:t xml:space="preserve">relative a una specifica area </w:t>
      </w:r>
      <w:r w:rsidR="00676E51">
        <w:rPr>
          <w:rFonts w:eastAsia="Times New Roman"/>
        </w:rPr>
        <w:t>di apprendimento</w:t>
      </w:r>
      <w:r w:rsidR="00335B4E">
        <w:rPr>
          <w:rFonts w:eastAsia="Times New Roman"/>
        </w:rPr>
        <w:t xml:space="preserve"> e, in questo modo, </w:t>
      </w:r>
      <w:r w:rsidR="00CB0402" w:rsidRPr="006B6602">
        <w:rPr>
          <w:rFonts w:eastAsia="Times New Roman"/>
        </w:rPr>
        <w:t xml:space="preserve">procedere alla valutazione sulla base di </w:t>
      </w:r>
      <w:r w:rsidR="00CB0402" w:rsidRPr="00874B81">
        <w:rPr>
          <w:rFonts w:eastAsia="Times New Roman"/>
          <w:color w:val="000000" w:themeColor="text1"/>
        </w:rPr>
        <w:t>obbiettivi di apprendimento posti</w:t>
      </w:r>
      <w:r w:rsidR="00C46FCA" w:rsidRPr="00874B81">
        <w:rPr>
          <w:rFonts w:eastAsia="Times New Roman"/>
          <w:color w:val="000000" w:themeColor="text1"/>
        </w:rPr>
        <w:t xml:space="preserve"> (Vertecchi, 2003</w:t>
      </w:r>
      <w:r w:rsidR="00CB0402" w:rsidRPr="00874B81">
        <w:rPr>
          <w:rFonts w:eastAsia="Times New Roman"/>
          <w:color w:val="000000" w:themeColor="text1"/>
        </w:rPr>
        <w:t>).</w:t>
      </w:r>
    </w:p>
    <w:p w14:paraId="0EDAE4E9" w14:textId="697E5ED0" w:rsidR="00B32DAD" w:rsidRPr="00874B81" w:rsidRDefault="00D90AF5" w:rsidP="00C46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  <w:r w:rsidRPr="00874B81">
        <w:rPr>
          <w:color w:val="000000" w:themeColor="text1"/>
        </w:rPr>
        <w:lastRenderedPageBreak/>
        <w:t xml:space="preserve">Delle </w:t>
      </w:r>
      <w:r w:rsidR="00DD7A5A" w:rsidRPr="00874B81">
        <w:rPr>
          <w:rFonts w:eastAsia="Times New Roman"/>
          <w:color w:val="000000" w:themeColor="text1"/>
        </w:rPr>
        <w:t>così dette</w:t>
      </w:r>
      <w:r w:rsidR="002355DF" w:rsidRPr="00874B81">
        <w:rPr>
          <w:rFonts w:eastAsia="Times New Roman"/>
          <w:color w:val="000000" w:themeColor="text1"/>
        </w:rPr>
        <w:t xml:space="preserve"> “prove di accertamento delle conoscenze” (Visalberghi, 1955; Gattullo, 1968; Calonghi, 1976), in particolare, </w:t>
      </w:r>
      <w:r w:rsidR="00DD7A5A" w:rsidRPr="00874B81">
        <w:rPr>
          <w:rFonts w:eastAsia="Times New Roman"/>
          <w:color w:val="000000" w:themeColor="text1"/>
        </w:rPr>
        <w:t xml:space="preserve">la ricerca </w:t>
      </w:r>
      <w:r w:rsidR="00CE3E5A" w:rsidRPr="00874B81">
        <w:rPr>
          <w:rFonts w:eastAsia="Times New Roman"/>
          <w:color w:val="000000" w:themeColor="text1"/>
        </w:rPr>
        <w:t>ha fornito un’analisi</w:t>
      </w:r>
      <w:r w:rsidR="00CE3E5A" w:rsidRPr="00874B81">
        <w:rPr>
          <w:rStyle w:val="Rimandonotaapidipagina"/>
          <w:rFonts w:eastAsia="Times New Roman"/>
          <w:color w:val="000000" w:themeColor="text1"/>
        </w:rPr>
        <w:footnoteReference w:id="1"/>
      </w:r>
      <w:r w:rsidR="00CE3E5A" w:rsidRPr="00874B81">
        <w:rPr>
          <w:rFonts w:eastAsia="Times New Roman"/>
          <w:color w:val="000000" w:themeColor="text1"/>
        </w:rPr>
        <w:t xml:space="preserve"> e </w:t>
      </w:r>
      <w:r w:rsidR="002355DF" w:rsidRPr="00874B81">
        <w:rPr>
          <w:rFonts w:eastAsia="Times New Roman"/>
          <w:color w:val="000000" w:themeColor="text1"/>
        </w:rPr>
        <w:t>chiarito funzion</w:t>
      </w:r>
      <w:r w:rsidR="00971C43" w:rsidRPr="00874B81">
        <w:rPr>
          <w:rFonts w:eastAsia="Times New Roman"/>
          <w:color w:val="000000" w:themeColor="text1"/>
        </w:rPr>
        <w:t xml:space="preserve">i genarli - </w:t>
      </w:r>
      <w:r w:rsidR="00CE3E5A" w:rsidRPr="00874B81">
        <w:rPr>
          <w:rFonts w:eastAsia="Times New Roman"/>
          <w:color w:val="000000" w:themeColor="text1"/>
        </w:rPr>
        <w:t>quali</w:t>
      </w:r>
      <w:r w:rsidR="006C2062" w:rsidRPr="00874B81">
        <w:rPr>
          <w:rFonts w:eastAsia="Times New Roman"/>
          <w:color w:val="000000" w:themeColor="text1"/>
        </w:rPr>
        <w:t xml:space="preserve"> </w:t>
      </w:r>
      <w:r w:rsidR="00DD7A5A" w:rsidRPr="00874B81">
        <w:rPr>
          <w:rFonts w:eastAsia="Times New Roman"/>
          <w:color w:val="000000" w:themeColor="text1"/>
        </w:rPr>
        <w:t xml:space="preserve">“strumenti per l’accertamento del </w:t>
      </w:r>
      <w:r w:rsidR="00DD7A5A" w:rsidRPr="002C5417">
        <w:rPr>
          <w:rFonts w:eastAsia="Times New Roman"/>
          <w:color w:val="000000" w:themeColor="text1"/>
        </w:rPr>
        <w:t>raggiungimento degli obiettivi scolastici” (</w:t>
      </w:r>
      <w:r w:rsidR="00044FDC" w:rsidRPr="002C5417">
        <w:rPr>
          <w:rFonts w:eastAsia="Times New Roman"/>
          <w:color w:val="000000" w:themeColor="text1"/>
        </w:rPr>
        <w:t>Benvenuto, Giaco</w:t>
      </w:r>
      <w:r w:rsidR="006F3867" w:rsidRPr="002C5417">
        <w:rPr>
          <w:rFonts w:eastAsia="Times New Roman"/>
          <w:color w:val="000000" w:themeColor="text1"/>
        </w:rPr>
        <w:t>mantonio, 2008</w:t>
      </w:r>
      <w:r w:rsidR="00DD7A5A" w:rsidRPr="002C5417">
        <w:rPr>
          <w:rFonts w:eastAsia="Times New Roman"/>
          <w:color w:val="000000" w:themeColor="text1"/>
        </w:rPr>
        <w:t xml:space="preserve">, p. 123), “sollecitazioni </w:t>
      </w:r>
      <w:r w:rsidR="00DD7A5A" w:rsidRPr="00874B81">
        <w:rPr>
          <w:rFonts w:eastAsia="Times New Roman"/>
          <w:color w:val="000000" w:themeColor="text1"/>
        </w:rPr>
        <w:t>miranti ad ottenere una specifica informazione concernente le abilità presenti negli allievi” (Bonazza, 2015, p. 201)</w:t>
      </w:r>
      <w:r w:rsidR="00971C43" w:rsidRPr="00874B81">
        <w:rPr>
          <w:rFonts w:eastAsia="Times New Roman"/>
          <w:color w:val="000000" w:themeColor="text1"/>
        </w:rPr>
        <w:t xml:space="preserve"> - e specifiche - conoscitiva (iniziale), regolativa (intermedia) e sommativa (finale) (Benvenuto, 2003) - per orientar</w:t>
      </w:r>
      <w:r w:rsidR="00335B4E" w:rsidRPr="00874B81">
        <w:rPr>
          <w:rFonts w:eastAsia="Times New Roman"/>
          <w:color w:val="000000" w:themeColor="text1"/>
        </w:rPr>
        <w:t>n</w:t>
      </w:r>
      <w:r w:rsidR="00971C43" w:rsidRPr="00874B81">
        <w:rPr>
          <w:rFonts w:eastAsia="Times New Roman"/>
          <w:color w:val="000000" w:themeColor="text1"/>
        </w:rPr>
        <w:t xml:space="preserve">e la scelta </w:t>
      </w:r>
      <w:r w:rsidR="00FB3E98" w:rsidRPr="00874B81">
        <w:rPr>
          <w:rFonts w:eastAsia="Times New Roman"/>
          <w:color w:val="000000" w:themeColor="text1"/>
        </w:rPr>
        <w:t>e saggiarne l’affidabilità</w:t>
      </w:r>
      <w:r w:rsidR="00C46FCA" w:rsidRPr="00874B81">
        <w:rPr>
          <w:rStyle w:val="Rimandonotaapidipagina"/>
          <w:rFonts w:eastAsia="Times New Roman"/>
          <w:color w:val="000000" w:themeColor="text1"/>
        </w:rPr>
        <w:footnoteReference w:id="2"/>
      </w:r>
      <w:r w:rsidR="00E01FF4" w:rsidRPr="00874B81">
        <w:rPr>
          <w:rFonts w:eastAsia="Times New Roman"/>
          <w:color w:val="000000" w:themeColor="text1"/>
        </w:rPr>
        <w:t xml:space="preserve">. </w:t>
      </w:r>
      <w:r w:rsidR="002355DF" w:rsidRPr="00874B81">
        <w:rPr>
          <w:rFonts w:eastAsia="Times New Roman"/>
          <w:color w:val="000000" w:themeColor="text1"/>
        </w:rPr>
        <w:t>Tali prove</w:t>
      </w:r>
      <w:r w:rsidR="0016738C" w:rsidRPr="00874B81">
        <w:rPr>
          <w:rFonts w:eastAsia="Times New Roman"/>
          <w:color w:val="000000" w:themeColor="text1"/>
        </w:rPr>
        <w:t xml:space="preserve"> rappresentano “un delicato settore dei problemi educativi” (Visalberghi, 1955, p. 137)</w:t>
      </w:r>
      <w:r w:rsidR="00C46FCA" w:rsidRPr="00874B81">
        <w:rPr>
          <w:rFonts w:eastAsia="Times New Roman"/>
          <w:color w:val="000000" w:themeColor="text1"/>
        </w:rPr>
        <w:t>,</w:t>
      </w:r>
      <w:r w:rsidR="00DD7A5A" w:rsidRPr="00874B81">
        <w:rPr>
          <w:rFonts w:eastAsia="Times New Roman"/>
          <w:color w:val="000000" w:themeColor="text1"/>
        </w:rPr>
        <w:t xml:space="preserve"> </w:t>
      </w:r>
      <w:r w:rsidR="002355DF" w:rsidRPr="00874B81">
        <w:rPr>
          <w:rFonts w:eastAsia="Times New Roman"/>
          <w:color w:val="000000" w:themeColor="text1"/>
        </w:rPr>
        <w:t xml:space="preserve">in quanto </w:t>
      </w:r>
      <w:r w:rsidR="002355DF" w:rsidRPr="002C5417">
        <w:rPr>
          <w:rFonts w:eastAsia="Times New Roman"/>
          <w:color w:val="000000" w:themeColor="text1"/>
        </w:rPr>
        <w:t>legate a</w:t>
      </w:r>
      <w:r w:rsidR="0016738C" w:rsidRPr="002C5417">
        <w:rPr>
          <w:rFonts w:eastAsia="Times New Roman"/>
          <w:color w:val="000000" w:themeColor="text1"/>
        </w:rPr>
        <w:t xml:space="preserve"> questioni di </w:t>
      </w:r>
      <w:r w:rsidR="004B08AF" w:rsidRPr="002C5417">
        <w:rPr>
          <w:rFonts w:eastAsia="Times New Roman"/>
          <w:color w:val="000000" w:themeColor="text1"/>
        </w:rPr>
        <w:t>fondo</w:t>
      </w:r>
      <w:r w:rsidR="002355DF" w:rsidRPr="002C5417">
        <w:rPr>
          <w:rFonts w:eastAsia="Times New Roman"/>
          <w:color w:val="000000" w:themeColor="text1"/>
        </w:rPr>
        <w:t xml:space="preserve"> interrelate</w:t>
      </w:r>
      <w:r w:rsidR="0016738C" w:rsidRPr="002C5417">
        <w:rPr>
          <w:rFonts w:eastAsia="Times New Roman"/>
          <w:color w:val="000000" w:themeColor="text1"/>
        </w:rPr>
        <w:t xml:space="preserve">, come </w:t>
      </w:r>
      <w:r w:rsidR="00DD7A5A" w:rsidRPr="002C5417">
        <w:rPr>
          <w:rFonts w:eastAsia="Times New Roman"/>
          <w:color w:val="000000" w:themeColor="text1"/>
        </w:rPr>
        <w:t>la rigorosità</w:t>
      </w:r>
      <w:r w:rsidR="0016738C" w:rsidRPr="002C5417">
        <w:rPr>
          <w:rFonts w:eastAsia="Times New Roman"/>
          <w:color w:val="000000" w:themeColor="text1"/>
        </w:rPr>
        <w:t xml:space="preserve"> </w:t>
      </w:r>
      <w:r w:rsidR="00335B4E" w:rsidRPr="002C5417">
        <w:rPr>
          <w:rFonts w:eastAsia="Times New Roman"/>
          <w:color w:val="000000" w:themeColor="text1"/>
        </w:rPr>
        <w:t>del valutatore</w:t>
      </w:r>
      <w:r w:rsidR="00DD7A5A" w:rsidRPr="002C5417">
        <w:rPr>
          <w:rFonts w:eastAsia="Times New Roman"/>
          <w:color w:val="000000" w:themeColor="text1"/>
        </w:rPr>
        <w:t xml:space="preserve"> e </w:t>
      </w:r>
      <w:r w:rsidR="00335B4E" w:rsidRPr="002C5417">
        <w:rPr>
          <w:rFonts w:eastAsia="Times New Roman"/>
          <w:color w:val="000000" w:themeColor="text1"/>
        </w:rPr>
        <w:t>l’equità d</w:t>
      </w:r>
      <w:r w:rsidR="0016738C" w:rsidRPr="002C5417">
        <w:rPr>
          <w:rFonts w:eastAsia="Times New Roman"/>
          <w:color w:val="000000" w:themeColor="text1"/>
        </w:rPr>
        <w:t>ei criteri (</w:t>
      </w:r>
      <w:r w:rsidR="009F46EC" w:rsidRPr="002C5417">
        <w:rPr>
          <w:rFonts w:eastAsia="Times New Roman"/>
          <w:color w:val="000000" w:themeColor="text1"/>
        </w:rPr>
        <w:t>De Landsheere, 1971; Shepard</w:t>
      </w:r>
      <w:r w:rsidR="009F46EC" w:rsidRPr="009F46EC">
        <w:rPr>
          <w:rFonts w:eastAsia="Times New Roman"/>
          <w:color w:val="000000" w:themeColor="text1"/>
        </w:rPr>
        <w:t>, 2021</w:t>
      </w:r>
      <w:r w:rsidR="0016738C" w:rsidRPr="009F46EC">
        <w:rPr>
          <w:rFonts w:eastAsia="Times New Roman"/>
          <w:color w:val="000000" w:themeColor="text1"/>
        </w:rPr>
        <w:t>)</w:t>
      </w:r>
      <w:r w:rsidR="002663A0" w:rsidRPr="00874B81">
        <w:rPr>
          <w:rFonts w:eastAsia="Times New Roman"/>
          <w:color w:val="000000" w:themeColor="text1"/>
        </w:rPr>
        <w:t xml:space="preserve"> nonché </w:t>
      </w:r>
      <w:r w:rsidR="00C46FCA" w:rsidRPr="00874B81">
        <w:rPr>
          <w:rFonts w:eastAsia="Times New Roman"/>
          <w:color w:val="000000" w:themeColor="text1"/>
        </w:rPr>
        <w:t>l’</w:t>
      </w:r>
      <w:r w:rsidR="0016738C" w:rsidRPr="00874B81">
        <w:rPr>
          <w:rFonts w:eastAsia="Times New Roman"/>
          <w:color w:val="000000" w:themeColor="text1"/>
        </w:rPr>
        <w:t xml:space="preserve">adeguata preparazione </w:t>
      </w:r>
      <w:r w:rsidR="00DD7A5A" w:rsidRPr="00874B81">
        <w:rPr>
          <w:rFonts w:eastAsia="Times New Roman"/>
          <w:color w:val="000000" w:themeColor="text1"/>
        </w:rPr>
        <w:t>da parte dei</w:t>
      </w:r>
      <w:r w:rsidR="0016738C" w:rsidRPr="00874B81">
        <w:rPr>
          <w:rFonts w:eastAsia="Times New Roman"/>
          <w:color w:val="000000" w:themeColor="text1"/>
        </w:rPr>
        <w:t xml:space="preserve"> docenti al</w:t>
      </w:r>
      <w:r w:rsidR="002355DF" w:rsidRPr="00874B81">
        <w:rPr>
          <w:rFonts w:eastAsia="Times New Roman"/>
          <w:color w:val="000000" w:themeColor="text1"/>
        </w:rPr>
        <w:t xml:space="preserve">la scelta e all’uso </w:t>
      </w:r>
      <w:r w:rsidR="002663A0" w:rsidRPr="00874B81">
        <w:rPr>
          <w:rFonts w:eastAsia="Times New Roman"/>
          <w:color w:val="000000" w:themeColor="text1"/>
        </w:rPr>
        <w:t xml:space="preserve">consapevole </w:t>
      </w:r>
      <w:r w:rsidR="0016738C" w:rsidRPr="00874B81">
        <w:rPr>
          <w:rFonts w:eastAsia="Times New Roman"/>
          <w:color w:val="000000" w:themeColor="text1"/>
        </w:rPr>
        <w:t xml:space="preserve">(Stiggins, 1988.; </w:t>
      </w:r>
      <w:r w:rsidR="004531B4" w:rsidRPr="00874B81">
        <w:rPr>
          <w:rFonts w:eastAsia="Times New Roman"/>
          <w:color w:val="000000" w:themeColor="text1"/>
        </w:rPr>
        <w:t>Zhang e Burry-Stock, 2003</w:t>
      </w:r>
      <w:r w:rsidR="0016738C" w:rsidRPr="00874B81">
        <w:rPr>
          <w:rFonts w:eastAsia="Times New Roman"/>
          <w:color w:val="000000" w:themeColor="text1"/>
        </w:rPr>
        <w:t xml:space="preserve">). </w:t>
      </w:r>
      <w:r w:rsidR="002355DF" w:rsidRPr="00874B81">
        <w:rPr>
          <w:rFonts w:eastAsia="Times New Roman"/>
          <w:color w:val="000000" w:themeColor="text1"/>
        </w:rPr>
        <w:t>Una</w:t>
      </w:r>
      <w:r w:rsidR="0016738C" w:rsidRPr="00874B81">
        <w:rPr>
          <w:rFonts w:eastAsia="Times New Roman"/>
          <w:color w:val="000000" w:themeColor="text1"/>
        </w:rPr>
        <w:t xml:space="preserve"> ricerca </w:t>
      </w:r>
      <w:r w:rsidR="002663A0" w:rsidRPr="00CF253A">
        <w:rPr>
          <w:rFonts w:eastAsia="Times New Roman"/>
          <w:color w:val="000000" w:themeColor="text1"/>
        </w:rPr>
        <w:t>italiana (</w:t>
      </w:r>
      <w:r w:rsidR="007F4291" w:rsidRPr="00CF253A">
        <w:rPr>
          <w:rFonts w:eastAsia="Times New Roman"/>
          <w:color w:val="000000" w:themeColor="text1"/>
        </w:rPr>
        <w:t>Menichetti</w:t>
      </w:r>
      <w:r w:rsidR="000515AE" w:rsidRPr="00CF253A">
        <w:rPr>
          <w:rFonts w:eastAsia="Times New Roman"/>
          <w:color w:val="000000" w:themeColor="text1"/>
        </w:rPr>
        <w:t xml:space="preserve">, </w:t>
      </w:r>
      <w:r w:rsidR="007F4291" w:rsidRPr="00CF253A">
        <w:rPr>
          <w:rFonts w:eastAsia="Times New Roman"/>
          <w:color w:val="000000" w:themeColor="text1"/>
        </w:rPr>
        <w:t>P</w:t>
      </w:r>
      <w:r w:rsidR="000515AE" w:rsidRPr="00CF253A">
        <w:rPr>
          <w:rFonts w:eastAsia="Times New Roman"/>
          <w:color w:val="000000" w:themeColor="text1"/>
        </w:rPr>
        <w:t>ellegrini</w:t>
      </w:r>
      <w:r w:rsidR="002663A0" w:rsidRPr="00CF253A">
        <w:rPr>
          <w:rFonts w:eastAsia="Times New Roman"/>
          <w:color w:val="000000" w:themeColor="text1"/>
        </w:rPr>
        <w:t xml:space="preserve">, </w:t>
      </w:r>
      <w:r w:rsidR="007F4291" w:rsidRPr="00CF253A">
        <w:rPr>
          <w:rFonts w:eastAsia="Times New Roman"/>
          <w:color w:val="000000" w:themeColor="text1"/>
        </w:rPr>
        <w:t>Gola</w:t>
      </w:r>
      <w:r w:rsidR="002663A0" w:rsidRPr="00CF253A">
        <w:rPr>
          <w:rFonts w:eastAsia="Times New Roman"/>
          <w:color w:val="000000" w:themeColor="text1"/>
        </w:rPr>
        <w:t xml:space="preserve">, </w:t>
      </w:r>
      <w:r w:rsidR="000515AE" w:rsidRPr="00CF253A">
        <w:rPr>
          <w:rFonts w:eastAsia="Times New Roman"/>
          <w:color w:val="000000" w:themeColor="text1"/>
        </w:rPr>
        <w:t>2019)</w:t>
      </w:r>
      <w:r w:rsidR="006F47B1" w:rsidRPr="00CF253A">
        <w:rPr>
          <w:rFonts w:eastAsia="Times New Roman"/>
          <w:color w:val="000000" w:themeColor="text1"/>
        </w:rPr>
        <w:t xml:space="preserve"> ha</w:t>
      </w:r>
      <w:r w:rsidR="007F4291" w:rsidRPr="00CF253A">
        <w:rPr>
          <w:rFonts w:eastAsia="Times New Roman"/>
          <w:color w:val="000000" w:themeColor="text1"/>
        </w:rPr>
        <w:t xml:space="preserve"> </w:t>
      </w:r>
      <w:r w:rsidR="002663A0" w:rsidRPr="00CF253A">
        <w:rPr>
          <w:rFonts w:eastAsia="Times New Roman"/>
          <w:color w:val="000000" w:themeColor="text1"/>
        </w:rPr>
        <w:t>messo</w:t>
      </w:r>
      <w:r w:rsidR="002663A0" w:rsidRPr="00874B81">
        <w:rPr>
          <w:rFonts w:eastAsia="Times New Roman"/>
          <w:color w:val="000000" w:themeColor="text1"/>
        </w:rPr>
        <w:t xml:space="preserve"> in evidenza </w:t>
      </w:r>
      <w:r w:rsidR="00B32DAD" w:rsidRPr="00874B81">
        <w:rPr>
          <w:rFonts w:eastAsia="Times New Roman"/>
          <w:color w:val="000000" w:themeColor="text1"/>
        </w:rPr>
        <w:t xml:space="preserve">di recente </w:t>
      </w:r>
      <w:r w:rsidR="002663A0" w:rsidRPr="00874B81">
        <w:rPr>
          <w:rFonts w:eastAsia="Times New Roman"/>
          <w:color w:val="000000" w:themeColor="text1"/>
        </w:rPr>
        <w:t>la scarsa cultura valutativa dei docenti,</w:t>
      </w:r>
      <w:r w:rsidR="002355DF" w:rsidRPr="00874B81">
        <w:rPr>
          <w:rFonts w:eastAsia="Times New Roman"/>
          <w:color w:val="000000" w:themeColor="text1"/>
        </w:rPr>
        <w:t xml:space="preserve"> </w:t>
      </w:r>
      <w:r w:rsidR="002663A0" w:rsidRPr="00874B81">
        <w:rPr>
          <w:rFonts w:eastAsia="Times New Roman"/>
          <w:color w:val="000000" w:themeColor="text1"/>
        </w:rPr>
        <w:t xml:space="preserve">espressa </w:t>
      </w:r>
      <w:r w:rsidR="007F4291" w:rsidRPr="00874B81">
        <w:rPr>
          <w:rFonts w:eastAsia="Times New Roman"/>
          <w:color w:val="000000" w:themeColor="text1"/>
        </w:rPr>
        <w:t xml:space="preserve">nel disattendere i criteri di </w:t>
      </w:r>
      <w:r w:rsidR="007F4291" w:rsidRPr="00874B81">
        <w:rPr>
          <w:rFonts w:eastAsia="Times New Roman"/>
          <w:i/>
          <w:color w:val="000000" w:themeColor="text1"/>
        </w:rPr>
        <w:t>validità</w:t>
      </w:r>
      <w:r w:rsidR="007F4291" w:rsidRPr="00874B81">
        <w:rPr>
          <w:rFonts w:eastAsia="Times New Roman"/>
          <w:color w:val="000000" w:themeColor="text1"/>
        </w:rPr>
        <w:t xml:space="preserve"> e </w:t>
      </w:r>
      <w:r w:rsidR="007F4291" w:rsidRPr="00874B81">
        <w:rPr>
          <w:rFonts w:eastAsia="Times New Roman"/>
          <w:i/>
          <w:color w:val="000000" w:themeColor="text1"/>
        </w:rPr>
        <w:t>attendibilità</w:t>
      </w:r>
      <w:r w:rsidR="002355DF" w:rsidRPr="00874B81">
        <w:rPr>
          <w:rFonts w:eastAsia="Times New Roman"/>
          <w:color w:val="000000" w:themeColor="text1"/>
        </w:rPr>
        <w:t xml:space="preserve">, </w:t>
      </w:r>
      <w:r w:rsidR="002E3480" w:rsidRPr="00874B81">
        <w:rPr>
          <w:rFonts w:eastAsia="Times New Roman"/>
          <w:color w:val="000000" w:themeColor="text1"/>
        </w:rPr>
        <w:t>in riferimento - quindi - al</w:t>
      </w:r>
      <w:r w:rsidR="007F4291" w:rsidRPr="00874B81">
        <w:rPr>
          <w:rFonts w:eastAsia="Times New Roman"/>
          <w:color w:val="000000" w:themeColor="text1"/>
        </w:rPr>
        <w:t>l’allineamento tra tipo di prova e obiettivo di apprendimento da verificare</w:t>
      </w:r>
      <w:r w:rsidR="002E3480" w:rsidRPr="00874B81">
        <w:rPr>
          <w:rFonts w:eastAsia="Times New Roman"/>
          <w:color w:val="000000" w:themeColor="text1"/>
        </w:rPr>
        <w:t xml:space="preserve"> nonché ai criteri non stabili nel tempo</w:t>
      </w:r>
      <w:r w:rsidR="00DD7A5A" w:rsidRPr="00874B81">
        <w:rPr>
          <w:rFonts w:eastAsia="Times New Roman"/>
          <w:color w:val="000000" w:themeColor="text1"/>
        </w:rPr>
        <w:t>.</w:t>
      </w:r>
      <w:r w:rsidR="004B08AF" w:rsidRPr="00874B81">
        <w:rPr>
          <w:rFonts w:eastAsia="Times New Roman"/>
          <w:color w:val="000000" w:themeColor="text1"/>
        </w:rPr>
        <w:t xml:space="preserve"> </w:t>
      </w:r>
      <w:r w:rsidR="002663A0" w:rsidRPr="00874B81">
        <w:rPr>
          <w:rFonts w:eastAsia="Times New Roman"/>
          <w:color w:val="000000" w:themeColor="text1"/>
        </w:rPr>
        <w:t>Alcuni studi di area francofona</w:t>
      </w:r>
      <w:r w:rsidR="00B32DAD" w:rsidRPr="00874B81">
        <w:rPr>
          <w:rFonts w:eastAsia="Times New Roman"/>
          <w:color w:val="000000" w:themeColor="text1"/>
        </w:rPr>
        <w:t xml:space="preserve"> </w:t>
      </w:r>
      <w:r w:rsidR="00874B81" w:rsidRPr="00874B81">
        <w:rPr>
          <w:rFonts w:eastAsia="Times New Roman"/>
          <w:color w:val="000000" w:themeColor="text1"/>
        </w:rPr>
        <w:t>hanno indagato</w:t>
      </w:r>
      <w:r w:rsidR="00B32DAD" w:rsidRPr="00874B81">
        <w:rPr>
          <w:rFonts w:eastAsia="Times New Roman"/>
          <w:color w:val="000000" w:themeColor="text1"/>
        </w:rPr>
        <w:t xml:space="preserve">, inoltre, la difficoltà dei docenti nel comprendere e sapere </w:t>
      </w:r>
      <w:r w:rsidR="00B32DAD" w:rsidRPr="00044FDC">
        <w:rPr>
          <w:rFonts w:eastAsia="Times New Roman"/>
          <w:color w:val="000000" w:themeColor="text1"/>
        </w:rPr>
        <w:t>gestire lo stretto legame - culturale e ‘politico’ (Mottier Lopez, 2015; Falardeau, Dolz, Dumortier, 2016) - tra i formati delle prove di valutazione e le finalità attribuite ad essi.</w:t>
      </w:r>
      <w:r w:rsidR="00B32DAD" w:rsidRPr="00874B81">
        <w:rPr>
          <w:rFonts w:eastAsia="Times New Roman"/>
          <w:color w:val="000000" w:themeColor="text1"/>
        </w:rPr>
        <w:t xml:space="preserve"> </w:t>
      </w:r>
    </w:p>
    <w:p w14:paraId="559E6F3C" w14:textId="18BCB099" w:rsidR="00526710" w:rsidRPr="00863763" w:rsidRDefault="004B08AF" w:rsidP="002355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highlight w:val="white"/>
        </w:rPr>
      </w:pPr>
      <w:r w:rsidRPr="00CF253A">
        <w:rPr>
          <w:rFonts w:eastAsia="Times New Roman"/>
          <w:color w:val="000000" w:themeColor="text1"/>
        </w:rPr>
        <w:t>Sebbene</w:t>
      </w:r>
      <w:r w:rsidR="00FD218C" w:rsidRPr="00CF253A">
        <w:rPr>
          <w:rFonts w:eastAsia="Times New Roman"/>
          <w:color w:val="000000" w:themeColor="text1"/>
        </w:rPr>
        <w:t xml:space="preserve">, quindi, </w:t>
      </w:r>
      <w:r w:rsidR="00CF253A">
        <w:rPr>
          <w:rFonts w:eastAsia="Times New Roman"/>
          <w:color w:val="000000" w:themeColor="text1"/>
        </w:rPr>
        <w:t>alla ricerca</w:t>
      </w:r>
      <w:r w:rsidR="00FD218C" w:rsidRPr="00CF253A">
        <w:rPr>
          <w:rFonts w:eastAsia="Times New Roman"/>
          <w:color w:val="000000" w:themeColor="text1"/>
        </w:rPr>
        <w:t xml:space="preserve"> </w:t>
      </w:r>
      <w:r w:rsidRPr="00CF253A">
        <w:rPr>
          <w:rFonts w:eastAsia="Times New Roman"/>
          <w:color w:val="000000" w:themeColor="text1"/>
        </w:rPr>
        <w:t>sia noto che</w:t>
      </w:r>
      <w:r w:rsidR="00DD7A5A" w:rsidRPr="00CF253A">
        <w:rPr>
          <w:rFonts w:eastAsia="Times New Roman"/>
          <w:color w:val="000000" w:themeColor="text1"/>
        </w:rPr>
        <w:t xml:space="preserve"> “per ogni funzione e obiettivo specifico della valutazione [sia] impiegato uno strumento di verifica omologo e congruente con quella funzione e con quell’obiettivo</w:t>
      </w:r>
      <w:r w:rsidR="00DD7A5A">
        <w:rPr>
          <w:rFonts w:eastAsia="Times New Roman"/>
          <w:color w:val="000000"/>
        </w:rPr>
        <w:t>” (Corsini, 2018)</w:t>
      </w:r>
      <w:r w:rsidR="00DD7A5A" w:rsidRPr="006B6602">
        <w:rPr>
          <w:rFonts w:eastAsia="Times New Roman"/>
          <w:color w:val="000000"/>
        </w:rPr>
        <w:t>, poiché solo un’alta congruenza tra obiettivi e prove permette di ottenere strumenti attendibili e validi</w:t>
      </w:r>
      <w:r w:rsidR="00DD7A5A">
        <w:rPr>
          <w:rFonts w:eastAsia="Times New Roman"/>
          <w:color w:val="000000"/>
        </w:rPr>
        <w:t xml:space="preserve"> (Domenici, </w:t>
      </w:r>
      <w:r w:rsidR="00EC10C1">
        <w:rPr>
          <w:rFonts w:eastAsia="Times New Roman"/>
          <w:color w:val="000000"/>
        </w:rPr>
        <w:t>2003</w:t>
      </w:r>
      <w:r w:rsidR="00DD7A5A">
        <w:rPr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, </w:t>
      </w:r>
      <w:r w:rsidR="002355DF">
        <w:rPr>
          <w:rFonts w:eastAsia="Times New Roman"/>
          <w:color w:val="000000"/>
        </w:rPr>
        <w:t>sul piano</w:t>
      </w:r>
      <w:r w:rsidR="00FD218C">
        <w:rPr>
          <w:rFonts w:eastAsia="Times New Roman"/>
          <w:color w:val="000000"/>
        </w:rPr>
        <w:t xml:space="preserve"> della preparazione dei docenti, </w:t>
      </w:r>
      <w:r w:rsidR="00BF26F1">
        <w:rPr>
          <w:rFonts w:eastAsia="Times New Roman"/>
          <w:color w:val="000000"/>
        </w:rPr>
        <w:t xml:space="preserve">in un quadro generale estremamente variegato di percorsi (DeLuca e Johnson, 2017), non è sempre chiaro </w:t>
      </w:r>
      <w:r w:rsidR="00CF253A">
        <w:rPr>
          <w:rFonts w:eastAsia="Times New Roman"/>
          <w:color w:val="000000"/>
        </w:rPr>
        <w:t xml:space="preserve">invece </w:t>
      </w:r>
      <w:r w:rsidR="00BF26F1">
        <w:rPr>
          <w:rFonts w:eastAsia="Times New Roman"/>
          <w:color w:val="000000"/>
        </w:rPr>
        <w:t>cosa venga fatto per</w:t>
      </w:r>
      <w:r>
        <w:rPr>
          <w:rFonts w:eastAsia="Times New Roman"/>
          <w:color w:val="000000"/>
        </w:rPr>
        <w:t xml:space="preserve"> </w:t>
      </w:r>
      <w:r w:rsidR="002355DF">
        <w:rPr>
          <w:rFonts w:eastAsia="Times New Roman"/>
          <w:color w:val="000000"/>
        </w:rPr>
        <w:t xml:space="preserve">sensibilizzazione </w:t>
      </w:r>
      <w:r w:rsidR="00BF26F1">
        <w:rPr>
          <w:rFonts w:eastAsia="Times New Roman"/>
          <w:color w:val="000000"/>
        </w:rPr>
        <w:t xml:space="preserve">i docenti </w:t>
      </w:r>
      <w:r w:rsidR="002355DF">
        <w:rPr>
          <w:rFonts w:eastAsia="Times New Roman"/>
          <w:color w:val="000000"/>
        </w:rPr>
        <w:t>ai criteri</w:t>
      </w:r>
      <w:r w:rsidR="00B32DAD">
        <w:rPr>
          <w:rFonts w:eastAsia="Times New Roman"/>
          <w:color w:val="000000"/>
        </w:rPr>
        <w:t>,</w:t>
      </w:r>
      <w:r w:rsidR="002355DF">
        <w:rPr>
          <w:rFonts w:eastAsia="Times New Roman"/>
          <w:color w:val="000000"/>
        </w:rPr>
        <w:t xml:space="preserve"> alla scelta/</w:t>
      </w:r>
      <w:r>
        <w:rPr>
          <w:rFonts w:eastAsia="Times New Roman"/>
          <w:color w:val="000000"/>
        </w:rPr>
        <w:t>uso di adeguati strumenti</w:t>
      </w:r>
      <w:r w:rsidR="00B32DAD">
        <w:rPr>
          <w:rFonts w:eastAsia="Times New Roman"/>
          <w:color w:val="000000"/>
        </w:rPr>
        <w:t>, alla c</w:t>
      </w:r>
      <w:r w:rsidR="00CF253A">
        <w:rPr>
          <w:rFonts w:eastAsia="Times New Roman"/>
          <w:color w:val="000000"/>
        </w:rPr>
        <w:t xml:space="preserve">onsapevolezza circa le </w:t>
      </w:r>
      <w:r w:rsidR="00CF253A" w:rsidRPr="00CF253A">
        <w:rPr>
          <w:rFonts w:eastAsia="Times New Roman"/>
          <w:color w:val="000000"/>
        </w:rPr>
        <w:t>funzioni</w:t>
      </w:r>
      <w:r w:rsidR="002355DF" w:rsidRPr="00CF253A">
        <w:rPr>
          <w:rFonts w:eastAsia="Times New Roman"/>
          <w:color w:val="000000"/>
        </w:rPr>
        <w:t>.</w:t>
      </w:r>
      <w:r w:rsidR="00B32DAD">
        <w:rPr>
          <w:color w:val="7030A0"/>
        </w:rPr>
        <w:t xml:space="preserve"> </w:t>
      </w:r>
      <w:r w:rsidRPr="00CF253A">
        <w:rPr>
          <w:rFonts w:eastAsia="Times New Roman"/>
          <w:color w:val="000000" w:themeColor="text1"/>
        </w:rPr>
        <w:t xml:space="preserve">Si tratta di un aspetto </w:t>
      </w:r>
      <w:r w:rsidR="00B32DAD" w:rsidRPr="00CF253A">
        <w:rPr>
          <w:rFonts w:eastAsia="Times New Roman"/>
          <w:color w:val="000000" w:themeColor="text1"/>
        </w:rPr>
        <w:t>già</w:t>
      </w:r>
      <w:r w:rsidRPr="00CF253A">
        <w:rPr>
          <w:rFonts w:eastAsia="Times New Roman"/>
          <w:color w:val="000000" w:themeColor="text1"/>
        </w:rPr>
        <w:t xml:space="preserve"> </w:t>
      </w:r>
      <w:r w:rsidR="00B32DAD" w:rsidRPr="00CF253A">
        <w:rPr>
          <w:rFonts w:eastAsia="Times New Roman"/>
          <w:color w:val="000000" w:themeColor="text1"/>
        </w:rPr>
        <w:t>messo in evidenza</w:t>
      </w:r>
      <w:r w:rsidRPr="00CF253A">
        <w:rPr>
          <w:rFonts w:eastAsia="Times New Roman"/>
          <w:color w:val="000000" w:themeColor="text1"/>
        </w:rPr>
        <w:t xml:space="preserve"> da Stiggins (2010, p. 233) </w:t>
      </w:r>
      <w:r w:rsidR="00B32DAD" w:rsidRPr="00CF253A">
        <w:rPr>
          <w:rFonts w:eastAsia="Times New Roman"/>
          <w:color w:val="000000" w:themeColor="text1"/>
        </w:rPr>
        <w:t>nelle sue indagini sull’</w:t>
      </w:r>
      <w:r w:rsidRPr="00CF253A">
        <w:rPr>
          <w:rFonts w:eastAsia="Times New Roman"/>
          <w:i/>
          <w:color w:val="000000" w:themeColor="text1"/>
        </w:rPr>
        <w:t>assessment illiteracy abundand</w:t>
      </w:r>
      <w:r w:rsidR="00B32DAD" w:rsidRPr="00CF253A">
        <w:rPr>
          <w:rFonts w:eastAsia="Times New Roman"/>
          <w:i/>
          <w:color w:val="000000" w:themeColor="text1"/>
        </w:rPr>
        <w:t xml:space="preserve"> </w:t>
      </w:r>
      <w:r w:rsidR="00526710" w:rsidRPr="00CF253A">
        <w:rPr>
          <w:rFonts w:eastAsia="Times New Roman"/>
          <w:color w:val="000000" w:themeColor="text1"/>
        </w:rPr>
        <w:t xml:space="preserve">che porta </w:t>
      </w:r>
      <w:r w:rsidR="00526710" w:rsidRPr="00CF253A">
        <w:rPr>
          <w:rFonts w:eastAsia="Times New Roman"/>
          <w:color w:val="000000" w:themeColor="text1"/>
          <w:highlight w:val="white"/>
        </w:rPr>
        <w:t xml:space="preserve">i docenti a costruire prove di valutazione inadeguate poiché basate su </w:t>
      </w:r>
      <w:r w:rsidR="00526710" w:rsidRPr="00CF253A">
        <w:rPr>
          <w:rFonts w:eastAsia="Times New Roman"/>
          <w:color w:val="000000" w:themeColor="text1"/>
        </w:rPr>
        <w:t xml:space="preserve">criteri vaghi, </w:t>
      </w:r>
      <w:r w:rsidR="00526710" w:rsidRPr="00526710">
        <w:rPr>
          <w:rFonts w:eastAsia="Times New Roman"/>
          <w:color w:val="000000"/>
        </w:rPr>
        <w:t xml:space="preserve">inaffidabili o comunicati erroneamente agli studenti. </w:t>
      </w:r>
      <w:r w:rsidR="00590DD4">
        <w:rPr>
          <w:rFonts w:eastAsia="Times New Roman"/>
          <w:color w:val="000000"/>
        </w:rPr>
        <w:t>Una</w:t>
      </w:r>
      <w:r w:rsidR="00526710">
        <w:rPr>
          <w:rFonts w:eastAsia="Times New Roman"/>
          <w:color w:val="000000"/>
        </w:rPr>
        <w:t xml:space="preserve"> </w:t>
      </w:r>
      <w:r w:rsidR="00863763">
        <w:rPr>
          <w:rFonts w:eastAsia="Times New Roman"/>
          <w:color w:val="000000"/>
        </w:rPr>
        <w:t xml:space="preserve">più </w:t>
      </w:r>
      <w:r w:rsidR="00526710">
        <w:rPr>
          <w:rFonts w:eastAsia="Times New Roman"/>
          <w:color w:val="000000"/>
        </w:rPr>
        <w:t>recente analisi condotta su</w:t>
      </w:r>
      <w:r w:rsidR="00590DD4">
        <w:rPr>
          <w:rFonts w:eastAsia="Times New Roman"/>
          <w:color w:val="000000"/>
        </w:rPr>
        <w:t xml:space="preserve"> circa 7000 </w:t>
      </w:r>
      <w:r w:rsidR="00526710">
        <w:rPr>
          <w:rFonts w:eastAsia="Times New Roman"/>
          <w:color w:val="000000"/>
        </w:rPr>
        <w:t xml:space="preserve">prove di verifica </w:t>
      </w:r>
      <w:r w:rsidR="00590DD4">
        <w:rPr>
          <w:rFonts w:eastAsia="Times New Roman"/>
          <w:color w:val="000000"/>
        </w:rPr>
        <w:t>di scuola primaria e secondaria</w:t>
      </w:r>
      <w:r w:rsidR="00526710" w:rsidRPr="00526710">
        <w:rPr>
          <w:rFonts w:eastAsia="Times New Roman"/>
          <w:color w:val="000000"/>
        </w:rPr>
        <w:t xml:space="preserve"> </w:t>
      </w:r>
      <w:r w:rsidR="00526710">
        <w:rPr>
          <w:rFonts w:eastAsia="Times New Roman"/>
          <w:color w:val="000000"/>
        </w:rPr>
        <w:t>(</w:t>
      </w:r>
      <w:r w:rsidR="00526710" w:rsidRPr="006B6602">
        <w:rPr>
          <w:rFonts w:eastAsia="Times New Roman"/>
          <w:color w:val="000000"/>
          <w:highlight w:val="white"/>
        </w:rPr>
        <w:t>Simsek</w:t>
      </w:r>
      <w:r w:rsidR="006C310C">
        <w:rPr>
          <w:rFonts w:eastAsia="Times New Roman"/>
          <w:color w:val="000000"/>
          <w:highlight w:val="white"/>
        </w:rPr>
        <w:t xml:space="preserve">, 2016) ha, peraltro, </w:t>
      </w:r>
      <w:r w:rsidR="00526710">
        <w:rPr>
          <w:rFonts w:eastAsia="Times New Roman"/>
          <w:color w:val="000000"/>
          <w:highlight w:val="white"/>
        </w:rPr>
        <w:t xml:space="preserve">rilevato </w:t>
      </w:r>
      <w:r w:rsidR="00863763">
        <w:rPr>
          <w:rFonts w:eastAsia="Times New Roman"/>
          <w:color w:val="000000"/>
          <w:highlight w:val="white"/>
        </w:rPr>
        <w:t xml:space="preserve">alcuni errore frequenti come </w:t>
      </w:r>
      <w:r w:rsidR="00CF253A">
        <w:rPr>
          <w:rFonts w:eastAsia="Times New Roman"/>
          <w:color w:val="000000"/>
          <w:highlight w:val="white"/>
        </w:rPr>
        <w:t>distrattori</w:t>
      </w:r>
      <w:r w:rsidR="004E3148">
        <w:rPr>
          <w:rFonts w:eastAsia="Times New Roman"/>
          <w:color w:val="000000"/>
          <w:highlight w:val="white"/>
        </w:rPr>
        <w:t xml:space="preserve"> non plausibili, </w:t>
      </w:r>
      <w:r w:rsidR="00590DD4">
        <w:rPr>
          <w:rFonts w:eastAsia="Times New Roman"/>
          <w:color w:val="000000"/>
          <w:highlight w:val="white"/>
        </w:rPr>
        <w:t>domande negative</w:t>
      </w:r>
      <w:r w:rsidR="00CF253A">
        <w:rPr>
          <w:rFonts w:eastAsia="Times New Roman"/>
          <w:color w:val="000000"/>
          <w:highlight w:val="white"/>
        </w:rPr>
        <w:t>, risposte implicite</w:t>
      </w:r>
      <w:r w:rsidR="00863763">
        <w:rPr>
          <w:rFonts w:eastAsia="Times New Roman"/>
          <w:color w:val="000000"/>
          <w:highlight w:val="white"/>
        </w:rPr>
        <w:t xml:space="preserve">, posizione ricorsiva della risposta corretta. Anche </w:t>
      </w:r>
      <w:r w:rsidR="00863763">
        <w:rPr>
          <w:rFonts w:eastAsia="Times New Roman"/>
          <w:color w:val="000000"/>
          <w:highlight w:val="white"/>
        </w:rPr>
        <w:lastRenderedPageBreak/>
        <w:t xml:space="preserve">sulla base di tali </w:t>
      </w:r>
      <w:r w:rsidR="00CF253A">
        <w:rPr>
          <w:rFonts w:eastAsia="Times New Roman"/>
          <w:color w:val="000000"/>
          <w:highlight w:val="white"/>
        </w:rPr>
        <w:t>urgenze</w:t>
      </w:r>
      <w:r w:rsidR="00863763">
        <w:rPr>
          <w:rFonts w:eastAsia="Times New Roman"/>
          <w:color w:val="000000"/>
          <w:highlight w:val="white"/>
        </w:rPr>
        <w:t xml:space="preserve">, </w:t>
      </w:r>
      <w:r w:rsidR="00526710" w:rsidRPr="00863763">
        <w:rPr>
          <w:rFonts w:eastAsia="Times New Roman"/>
          <w:color w:val="000000"/>
          <w:highlight w:val="white"/>
        </w:rPr>
        <w:t xml:space="preserve">Xu e Brown (2016) hanno </w:t>
      </w:r>
      <w:r w:rsidR="00863763">
        <w:rPr>
          <w:rFonts w:eastAsia="Times New Roman"/>
          <w:color w:val="000000"/>
          <w:highlight w:val="white"/>
        </w:rPr>
        <w:t xml:space="preserve">lanciato un </w:t>
      </w:r>
      <w:r w:rsidR="00EC1606">
        <w:rPr>
          <w:rFonts w:eastAsia="Times New Roman"/>
          <w:color w:val="000000"/>
          <w:highlight w:val="white"/>
        </w:rPr>
        <w:t xml:space="preserve">appello, </w:t>
      </w:r>
      <w:r w:rsidR="00CF253A">
        <w:rPr>
          <w:rFonts w:eastAsia="Times New Roman"/>
          <w:color w:val="000000"/>
          <w:highlight w:val="white"/>
        </w:rPr>
        <w:t>sull’</w:t>
      </w:r>
      <w:r w:rsidR="00EC1606" w:rsidRPr="00EC1606">
        <w:rPr>
          <w:rFonts w:eastAsia="Times New Roman"/>
          <w:i/>
          <w:color w:val="000000"/>
          <w:highlight w:val="white"/>
        </w:rPr>
        <w:t xml:space="preserve">assessment literacy </w:t>
      </w:r>
      <w:r w:rsidR="00EC1606">
        <w:rPr>
          <w:rFonts w:eastAsia="Times New Roman"/>
          <w:color w:val="000000"/>
          <w:highlight w:val="white"/>
        </w:rPr>
        <w:t xml:space="preserve">dei docenti, </w:t>
      </w:r>
      <w:r w:rsidR="00A56818">
        <w:rPr>
          <w:rFonts w:eastAsia="Times New Roman"/>
          <w:color w:val="000000"/>
          <w:highlight w:val="white"/>
        </w:rPr>
        <w:t>te</w:t>
      </w:r>
      <w:r w:rsidR="00EC1606">
        <w:rPr>
          <w:rFonts w:eastAsia="Times New Roman"/>
          <w:color w:val="000000"/>
          <w:highlight w:val="white"/>
        </w:rPr>
        <w:t xml:space="preserve">so a </w:t>
      </w:r>
      <w:r w:rsidR="00526710" w:rsidRPr="00863763">
        <w:rPr>
          <w:rFonts w:eastAsia="Times New Roman"/>
          <w:color w:val="000000"/>
          <w:highlight w:val="white"/>
        </w:rPr>
        <w:t xml:space="preserve">colmare la distanza tra </w:t>
      </w:r>
      <w:r w:rsidR="00EC1606">
        <w:rPr>
          <w:rFonts w:eastAsia="Times New Roman"/>
          <w:color w:val="000000"/>
          <w:highlight w:val="white"/>
        </w:rPr>
        <w:t xml:space="preserve">evidenze della </w:t>
      </w:r>
      <w:r w:rsidR="00526710" w:rsidRPr="00863763">
        <w:rPr>
          <w:rFonts w:eastAsia="Times New Roman"/>
          <w:color w:val="000000"/>
          <w:highlight w:val="white"/>
        </w:rPr>
        <w:t xml:space="preserve">ricerca </w:t>
      </w:r>
      <w:r w:rsidR="00EC1606">
        <w:rPr>
          <w:rFonts w:eastAsia="Times New Roman"/>
          <w:color w:val="000000"/>
          <w:highlight w:val="white"/>
        </w:rPr>
        <w:t>valutativa</w:t>
      </w:r>
      <w:r w:rsidR="00526710" w:rsidRPr="00863763">
        <w:rPr>
          <w:rFonts w:eastAsia="Times New Roman"/>
          <w:color w:val="000000"/>
          <w:highlight w:val="white"/>
        </w:rPr>
        <w:t xml:space="preserve">, formazione degli insegnanti </w:t>
      </w:r>
      <w:r w:rsidR="00EC1606">
        <w:rPr>
          <w:rFonts w:eastAsia="Times New Roman"/>
          <w:color w:val="000000"/>
          <w:highlight w:val="white"/>
        </w:rPr>
        <w:t xml:space="preserve">sulle abilità valutative </w:t>
      </w:r>
      <w:r w:rsidR="00CF253A">
        <w:rPr>
          <w:rFonts w:eastAsia="Times New Roman"/>
          <w:color w:val="000000"/>
          <w:highlight w:val="white"/>
        </w:rPr>
        <w:t xml:space="preserve">e, nello specifico, </w:t>
      </w:r>
      <w:r w:rsidR="00526710" w:rsidRPr="00863763">
        <w:rPr>
          <w:rFonts w:eastAsia="Times New Roman"/>
          <w:color w:val="000000"/>
          <w:highlight w:val="white"/>
        </w:rPr>
        <w:t>qualità delle prove di valut</w:t>
      </w:r>
      <w:r w:rsidR="00A56818">
        <w:rPr>
          <w:rFonts w:eastAsia="Times New Roman"/>
          <w:color w:val="000000"/>
          <w:highlight w:val="white"/>
        </w:rPr>
        <w:t>azione in uso</w:t>
      </w:r>
      <w:r w:rsidR="00526710" w:rsidRPr="00863763">
        <w:rPr>
          <w:rFonts w:eastAsia="Times New Roman"/>
          <w:color w:val="000000"/>
          <w:highlight w:val="white"/>
        </w:rPr>
        <w:t>.</w:t>
      </w:r>
    </w:p>
    <w:p w14:paraId="39E4DB9B" w14:textId="1A3966DD" w:rsidR="003F6B12" w:rsidRPr="0084433A" w:rsidRDefault="00326E2C" w:rsidP="002936A1">
      <w:pPr>
        <w:pStyle w:val="Titolo3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Criteri di qualità</w:t>
      </w:r>
      <w:r w:rsidR="00EF77C3" w:rsidRPr="0084433A">
        <w:rPr>
          <w:rFonts w:ascii="Times New Roman" w:hAnsi="Times New Roman" w:cs="Times New Roman"/>
          <w:i/>
          <w:iCs/>
          <w:sz w:val="24"/>
          <w:szCs w:val="24"/>
        </w:rPr>
        <w:t xml:space="preserve"> delle </w:t>
      </w:r>
      <w:r w:rsidR="00710FB9" w:rsidRPr="0084433A">
        <w:rPr>
          <w:rFonts w:ascii="Times New Roman" w:hAnsi="Times New Roman" w:cs="Times New Roman"/>
          <w:i/>
          <w:iCs/>
          <w:sz w:val="24"/>
          <w:szCs w:val="24"/>
        </w:rPr>
        <w:t xml:space="preserve">prove di </w:t>
      </w:r>
      <w:r>
        <w:rPr>
          <w:rFonts w:ascii="Times New Roman" w:hAnsi="Times New Roman" w:cs="Times New Roman"/>
          <w:i/>
          <w:iCs/>
          <w:sz w:val="24"/>
          <w:szCs w:val="24"/>
        </w:rPr>
        <w:t>verifica</w:t>
      </w:r>
    </w:p>
    <w:p w14:paraId="2CA9C04A" w14:textId="5C81F355" w:rsidR="00284823" w:rsidRPr="00FD4B6C" w:rsidRDefault="009C7D60" w:rsidP="00C419B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La ricerca indica</w:t>
      </w:r>
      <w:r w:rsidR="00CF253A" w:rsidRPr="00FD4B6C">
        <w:rPr>
          <w:rFonts w:eastAsia="Times New Roman"/>
          <w:color w:val="000000" w:themeColor="text1"/>
        </w:rPr>
        <w:t xml:space="preserve"> che non esiste </w:t>
      </w:r>
      <w:r w:rsidR="00E010BA" w:rsidRPr="00FD4B6C">
        <w:rPr>
          <w:rFonts w:eastAsia="Times New Roman"/>
          <w:color w:val="000000" w:themeColor="text1"/>
        </w:rPr>
        <w:t>lo stru</w:t>
      </w:r>
      <w:r w:rsidR="009C1CE9">
        <w:rPr>
          <w:rFonts w:eastAsia="Times New Roman"/>
          <w:color w:val="000000" w:themeColor="text1"/>
        </w:rPr>
        <w:t>mento di verifica migliore, ma “</w:t>
      </w:r>
      <w:r w:rsidR="00E010BA" w:rsidRPr="00FD4B6C">
        <w:rPr>
          <w:rFonts w:eastAsia="Times New Roman"/>
          <w:color w:val="000000" w:themeColor="text1"/>
        </w:rPr>
        <w:t>solo quello più adatto al</w:t>
      </w:r>
      <w:r w:rsidR="009C1CE9">
        <w:rPr>
          <w:rFonts w:eastAsia="Times New Roman"/>
          <w:color w:val="000000" w:themeColor="text1"/>
        </w:rPr>
        <w:t>lo scopo per il quale è pensato”</w:t>
      </w:r>
      <w:r w:rsidR="00E010BA" w:rsidRPr="00FD4B6C">
        <w:rPr>
          <w:rFonts w:eastAsia="Times New Roman"/>
          <w:color w:val="000000" w:themeColor="text1"/>
        </w:rPr>
        <w:t xml:space="preserve"> (Benvenuto, 2003, p. 11)</w:t>
      </w:r>
      <w:r w:rsidR="00CF253A" w:rsidRPr="00FD4B6C">
        <w:rPr>
          <w:rFonts w:eastAsia="Times New Roman"/>
          <w:color w:val="000000" w:themeColor="text1"/>
        </w:rPr>
        <w:t xml:space="preserve"> e che </w:t>
      </w:r>
      <w:r w:rsidR="00590F05" w:rsidRPr="00FD4B6C">
        <w:rPr>
          <w:rFonts w:eastAsia="Times New Roman"/>
          <w:color w:val="000000" w:themeColor="text1"/>
          <w:highlight w:val="white"/>
        </w:rPr>
        <w:t xml:space="preserve">nessuna prova di </w:t>
      </w:r>
      <w:r w:rsidR="00E010BA" w:rsidRPr="00FD4B6C">
        <w:rPr>
          <w:rFonts w:eastAsia="Times New Roman"/>
          <w:color w:val="000000" w:themeColor="text1"/>
          <w:highlight w:val="white"/>
        </w:rPr>
        <w:t>verifica</w:t>
      </w:r>
      <w:r w:rsidR="00590F05" w:rsidRPr="00FD4B6C">
        <w:rPr>
          <w:rFonts w:eastAsia="Times New Roman"/>
          <w:color w:val="000000" w:themeColor="text1"/>
          <w:highlight w:val="white"/>
        </w:rPr>
        <w:t xml:space="preserve"> delle conoscenze </w:t>
      </w:r>
      <w:r w:rsidR="00E010BA" w:rsidRPr="00FD4B6C">
        <w:rPr>
          <w:rFonts w:eastAsia="Times New Roman"/>
          <w:color w:val="000000" w:themeColor="text1"/>
          <w:highlight w:val="white"/>
        </w:rPr>
        <w:t xml:space="preserve">possa </w:t>
      </w:r>
      <w:r w:rsidR="00590F05" w:rsidRPr="00FD4B6C">
        <w:rPr>
          <w:rFonts w:eastAsia="Times New Roman"/>
          <w:color w:val="000000" w:themeColor="text1"/>
          <w:highlight w:val="white"/>
        </w:rPr>
        <w:t>a priori considerarsi ben costruita</w:t>
      </w:r>
      <w:r w:rsidR="002936A1" w:rsidRPr="00FD4B6C">
        <w:rPr>
          <w:rFonts w:eastAsia="Times New Roman"/>
          <w:color w:val="000000" w:themeColor="text1"/>
          <w:highlight w:val="white"/>
        </w:rPr>
        <w:t xml:space="preserve"> (Domenici, 2003, p. 124)</w:t>
      </w:r>
      <w:r w:rsidR="00CF253A" w:rsidRPr="00FD4B6C">
        <w:rPr>
          <w:rFonts w:eastAsia="Times New Roman"/>
          <w:color w:val="000000" w:themeColor="text1"/>
        </w:rPr>
        <w:t xml:space="preserve">, </w:t>
      </w:r>
      <w:r w:rsidR="00E010BA" w:rsidRPr="00FD4B6C">
        <w:rPr>
          <w:rFonts w:eastAsia="Times New Roman"/>
          <w:color w:val="000000" w:themeColor="text1"/>
          <w:highlight w:val="white"/>
        </w:rPr>
        <w:t xml:space="preserve">tuttavia </w:t>
      </w:r>
      <w:r w:rsidR="00CF253A" w:rsidRPr="00FD4B6C">
        <w:rPr>
          <w:rFonts w:eastAsia="Times New Roman"/>
          <w:color w:val="000000" w:themeColor="text1"/>
          <w:highlight w:val="white"/>
        </w:rPr>
        <w:t>ha offerto negli anni</w:t>
      </w:r>
      <w:r w:rsidR="0067667E" w:rsidRPr="00FD4B6C">
        <w:rPr>
          <w:rFonts w:eastAsia="Times New Roman"/>
          <w:color w:val="000000" w:themeColor="text1"/>
          <w:highlight w:val="white"/>
        </w:rPr>
        <w:t xml:space="preserve"> norme generali </w:t>
      </w:r>
      <w:r w:rsidR="00CF253A" w:rsidRPr="00FD4B6C">
        <w:rPr>
          <w:rFonts w:eastAsia="Times New Roman"/>
          <w:color w:val="000000" w:themeColor="text1"/>
          <w:highlight w:val="white"/>
        </w:rPr>
        <w:t xml:space="preserve">relative al loro uso nonché </w:t>
      </w:r>
      <w:r w:rsidR="009C1CE9">
        <w:rPr>
          <w:rFonts w:eastAsia="Times New Roman"/>
          <w:color w:val="000000" w:themeColor="text1"/>
          <w:highlight w:val="white"/>
        </w:rPr>
        <w:t>procedu</w:t>
      </w:r>
      <w:r w:rsidR="00E010BA" w:rsidRPr="00FD4B6C">
        <w:rPr>
          <w:rFonts w:eastAsia="Times New Roman"/>
          <w:color w:val="000000" w:themeColor="text1"/>
          <w:highlight w:val="white"/>
        </w:rPr>
        <w:t xml:space="preserve">re </w:t>
      </w:r>
      <w:r w:rsidR="00240A00" w:rsidRPr="00FD4B6C">
        <w:rPr>
          <w:rFonts w:eastAsia="Times New Roman"/>
          <w:color w:val="000000" w:themeColor="text1"/>
        </w:rPr>
        <w:t>utili alla descrizione della</w:t>
      </w:r>
      <w:r w:rsidR="00E010BA" w:rsidRPr="00FD4B6C">
        <w:rPr>
          <w:rFonts w:eastAsia="Times New Roman"/>
          <w:color w:val="000000" w:themeColor="text1"/>
        </w:rPr>
        <w:t xml:space="preserve"> </w:t>
      </w:r>
      <w:r w:rsidR="0067667E" w:rsidRPr="00FD4B6C">
        <w:rPr>
          <w:rFonts w:eastAsia="Times New Roman"/>
          <w:color w:val="000000" w:themeColor="text1"/>
        </w:rPr>
        <w:t xml:space="preserve">loro </w:t>
      </w:r>
      <w:r w:rsidR="00E010BA" w:rsidRPr="00FD4B6C">
        <w:rPr>
          <w:rFonts w:eastAsia="Times New Roman"/>
          <w:color w:val="000000" w:themeColor="text1"/>
        </w:rPr>
        <w:t>qualità formale</w:t>
      </w:r>
      <w:r w:rsidR="0067667E" w:rsidRPr="00FD4B6C">
        <w:rPr>
          <w:rFonts w:eastAsia="Times New Roman"/>
          <w:color w:val="000000" w:themeColor="text1"/>
        </w:rPr>
        <w:t>.</w:t>
      </w:r>
      <w:r w:rsidR="00C419B6" w:rsidRPr="00FD4B6C">
        <w:rPr>
          <w:rFonts w:eastAsia="Times New Roman"/>
          <w:color w:val="000000" w:themeColor="text1"/>
        </w:rPr>
        <w:t xml:space="preserve"> </w:t>
      </w:r>
      <w:r w:rsidR="00FD4B6C" w:rsidRPr="00FD4B6C">
        <w:rPr>
          <w:rFonts w:eastAsia="Times New Roman"/>
          <w:color w:val="000000" w:themeColor="text1"/>
        </w:rPr>
        <w:t>P</w:t>
      </w:r>
      <w:r w:rsidR="002A76DC" w:rsidRPr="00FD4B6C">
        <w:rPr>
          <w:rFonts w:eastAsia="Times New Roman"/>
          <w:color w:val="000000" w:themeColor="text1"/>
        </w:rPr>
        <w:t xml:space="preserve">er le prove di verifica </w:t>
      </w:r>
      <w:r w:rsidR="001A50FB" w:rsidRPr="00FD4B6C">
        <w:rPr>
          <w:color w:val="000000" w:themeColor="text1"/>
        </w:rPr>
        <w:t>utilizzati quotidianamente nella pratica scolastica</w:t>
      </w:r>
      <w:r w:rsidR="00FD4B6C" w:rsidRPr="00FD4B6C">
        <w:rPr>
          <w:rFonts w:eastAsia="Times New Roman"/>
          <w:color w:val="000000" w:themeColor="text1"/>
        </w:rPr>
        <w:t xml:space="preserve">, </w:t>
      </w:r>
      <w:r w:rsidR="00FD4B6C" w:rsidRPr="002C5417">
        <w:rPr>
          <w:rFonts w:eastAsia="Times New Roman"/>
          <w:color w:val="000000" w:themeColor="text1"/>
        </w:rPr>
        <w:t>che comprendono anche</w:t>
      </w:r>
      <w:r w:rsidR="00C419B6" w:rsidRPr="002C5417">
        <w:rPr>
          <w:rFonts w:eastAsia="Times New Roman"/>
          <w:color w:val="000000" w:themeColor="text1"/>
        </w:rPr>
        <w:t xml:space="preserve"> </w:t>
      </w:r>
      <w:r w:rsidR="00C419B6" w:rsidRPr="002C5417">
        <w:rPr>
          <w:color w:val="000000" w:themeColor="text1"/>
        </w:rPr>
        <w:t xml:space="preserve">strumenti di valutazione </w:t>
      </w:r>
      <w:r w:rsidR="00A118A3" w:rsidRPr="002C5417">
        <w:rPr>
          <w:color w:val="000000" w:themeColor="text1"/>
        </w:rPr>
        <w:t xml:space="preserve">‘carta-e-matita’ o </w:t>
      </w:r>
      <w:r w:rsidR="002A76DC" w:rsidRPr="002C5417">
        <w:rPr>
          <w:color w:val="000000" w:themeColor="text1"/>
        </w:rPr>
        <w:t xml:space="preserve">‘tratti dai libri di testo’ </w:t>
      </w:r>
      <w:r w:rsidR="00C419B6" w:rsidRPr="002C5417">
        <w:rPr>
          <w:color w:val="000000" w:themeColor="text1"/>
        </w:rPr>
        <w:t>(Stiggins, 1993</w:t>
      </w:r>
      <w:r w:rsidR="002A76DC" w:rsidRPr="002C5417">
        <w:rPr>
          <w:color w:val="000000" w:themeColor="text1"/>
        </w:rPr>
        <w:t>, p. 35</w:t>
      </w:r>
      <w:r w:rsidR="00FD4B6C" w:rsidRPr="002C5417">
        <w:rPr>
          <w:color w:val="000000" w:themeColor="text1"/>
        </w:rPr>
        <w:t>; White, 2019</w:t>
      </w:r>
      <w:r w:rsidR="001A50FB" w:rsidRPr="002C5417">
        <w:rPr>
          <w:color w:val="000000" w:themeColor="text1"/>
        </w:rPr>
        <w:t xml:space="preserve">), </w:t>
      </w:r>
      <w:r w:rsidR="00C419B6" w:rsidRPr="002C5417">
        <w:rPr>
          <w:color w:val="000000" w:themeColor="text1"/>
        </w:rPr>
        <w:t xml:space="preserve">sono stati </w:t>
      </w:r>
      <w:r w:rsidR="001A50FB" w:rsidRPr="002C5417">
        <w:rPr>
          <w:color w:val="000000" w:themeColor="text1"/>
        </w:rPr>
        <w:t>indicati</w:t>
      </w:r>
      <w:r w:rsidR="00C419B6" w:rsidRPr="002C5417">
        <w:rPr>
          <w:color w:val="000000" w:themeColor="text1"/>
        </w:rPr>
        <w:t xml:space="preserve"> dalla ricerca nel corso degli</w:t>
      </w:r>
      <w:r w:rsidR="002A76DC" w:rsidRPr="002C5417">
        <w:rPr>
          <w:color w:val="000000" w:themeColor="text1"/>
        </w:rPr>
        <w:t xml:space="preserve"> anni criteri gene</w:t>
      </w:r>
      <w:r w:rsidR="00C419B6" w:rsidRPr="002C5417">
        <w:rPr>
          <w:color w:val="000000" w:themeColor="text1"/>
        </w:rPr>
        <w:t>rali</w:t>
      </w:r>
      <w:r w:rsidR="001A50FB" w:rsidRPr="002C5417">
        <w:rPr>
          <w:color w:val="000000" w:themeColor="text1"/>
        </w:rPr>
        <w:t xml:space="preserve"> relativi alla costruzione e all’uso</w:t>
      </w:r>
      <w:r w:rsidR="009C1CE9" w:rsidRPr="002C5417">
        <w:rPr>
          <w:rStyle w:val="Rimandonotaapidipagina"/>
          <w:color w:val="000000" w:themeColor="text1"/>
        </w:rPr>
        <w:footnoteReference w:id="3"/>
      </w:r>
      <w:r w:rsidR="00C419B6" w:rsidRPr="002C5417">
        <w:rPr>
          <w:color w:val="000000" w:themeColor="text1"/>
        </w:rPr>
        <w:t>.</w:t>
      </w:r>
      <w:r w:rsidR="00237474" w:rsidRPr="002C5417">
        <w:rPr>
          <w:rFonts w:eastAsia="Times New Roman"/>
          <w:color w:val="000000" w:themeColor="text1"/>
        </w:rPr>
        <w:t xml:space="preserve"> </w:t>
      </w:r>
      <w:r w:rsidR="0067667E" w:rsidRPr="002C5417">
        <w:rPr>
          <w:rFonts w:eastAsia="Times New Roman"/>
          <w:color w:val="000000" w:themeColor="text1"/>
          <w:highlight w:val="white"/>
        </w:rPr>
        <w:t xml:space="preserve">Benvenuto </w:t>
      </w:r>
      <w:r w:rsidR="00284823" w:rsidRPr="002C5417">
        <w:rPr>
          <w:rFonts w:eastAsia="Times New Roman"/>
          <w:color w:val="000000" w:themeColor="text1"/>
          <w:highlight w:val="white"/>
        </w:rPr>
        <w:t xml:space="preserve">e Lopriore </w:t>
      </w:r>
      <w:r w:rsidR="00237474" w:rsidRPr="002C5417">
        <w:rPr>
          <w:rFonts w:eastAsia="Times New Roman"/>
          <w:color w:val="000000" w:themeColor="text1"/>
          <w:highlight w:val="white"/>
        </w:rPr>
        <w:t>ha</w:t>
      </w:r>
      <w:r w:rsidR="00284823" w:rsidRPr="002C5417">
        <w:rPr>
          <w:rFonts w:eastAsia="Times New Roman"/>
          <w:color w:val="000000" w:themeColor="text1"/>
          <w:highlight w:val="white"/>
        </w:rPr>
        <w:t>nno</w:t>
      </w:r>
      <w:r w:rsidR="00237474" w:rsidRPr="002C5417">
        <w:rPr>
          <w:rFonts w:eastAsia="Times New Roman"/>
          <w:color w:val="000000" w:themeColor="text1"/>
          <w:highlight w:val="white"/>
        </w:rPr>
        <w:t xml:space="preserve"> suggerito</w:t>
      </w:r>
      <w:r w:rsidR="00C419B6" w:rsidRPr="002C5417">
        <w:rPr>
          <w:rFonts w:eastAsia="Times New Roman"/>
          <w:color w:val="000000" w:themeColor="text1"/>
          <w:highlight w:val="white"/>
        </w:rPr>
        <w:t xml:space="preserve"> </w:t>
      </w:r>
      <w:r w:rsidR="0067667E" w:rsidRPr="002C5417">
        <w:rPr>
          <w:rFonts w:eastAsia="Times New Roman"/>
          <w:color w:val="000000" w:themeColor="text1"/>
          <w:highlight w:val="white"/>
        </w:rPr>
        <w:t xml:space="preserve">quattro </w:t>
      </w:r>
      <w:r w:rsidR="00C419B6" w:rsidRPr="002C5417">
        <w:rPr>
          <w:rFonts w:eastAsia="Times New Roman"/>
          <w:color w:val="000000" w:themeColor="text1"/>
          <w:highlight w:val="white"/>
        </w:rPr>
        <w:t>regole</w:t>
      </w:r>
      <w:r w:rsidR="002A76DC" w:rsidRPr="002C5417">
        <w:rPr>
          <w:rFonts w:eastAsia="Times New Roman"/>
          <w:color w:val="000000" w:themeColor="text1"/>
          <w:highlight w:val="white"/>
        </w:rPr>
        <w:t xml:space="preserve"> comuni</w:t>
      </w:r>
      <w:r w:rsidR="00C419B6" w:rsidRPr="002C5417">
        <w:rPr>
          <w:rFonts w:eastAsia="Times New Roman"/>
          <w:color w:val="000000" w:themeColor="text1"/>
          <w:highlight w:val="white"/>
        </w:rPr>
        <w:t xml:space="preserve">, valide a prescindere </w:t>
      </w:r>
      <w:r w:rsidR="00C419B6" w:rsidRPr="00FD4B6C">
        <w:rPr>
          <w:rFonts w:eastAsia="Times New Roman"/>
          <w:color w:val="000000" w:themeColor="text1"/>
          <w:highlight w:val="white"/>
        </w:rPr>
        <w:t xml:space="preserve">dal tipo di </w:t>
      </w:r>
      <w:r w:rsidR="001A50FB">
        <w:rPr>
          <w:rFonts w:eastAsia="Times New Roman"/>
          <w:color w:val="000000" w:themeColor="text1"/>
          <w:highlight w:val="white"/>
        </w:rPr>
        <w:t>item</w:t>
      </w:r>
      <w:r w:rsidR="00C419B6" w:rsidRPr="00FD4B6C">
        <w:rPr>
          <w:rFonts w:eastAsia="Times New Roman"/>
          <w:color w:val="000000" w:themeColor="text1"/>
          <w:highlight w:val="white"/>
        </w:rPr>
        <w:t xml:space="preserve"> da costruire e utili ad evitare l’ambiguità</w:t>
      </w:r>
      <w:r w:rsidR="002279C7" w:rsidRPr="00FD4B6C">
        <w:rPr>
          <w:rFonts w:eastAsia="Times New Roman"/>
          <w:color w:val="000000" w:themeColor="text1"/>
          <w:highlight w:val="white"/>
        </w:rPr>
        <w:t xml:space="preserve">, </w:t>
      </w:r>
      <w:r w:rsidR="00C419B6" w:rsidRPr="00FD4B6C">
        <w:rPr>
          <w:rFonts w:eastAsia="Times New Roman"/>
          <w:color w:val="000000" w:themeColor="text1"/>
          <w:highlight w:val="white"/>
        </w:rPr>
        <w:t>come presupposto per la validità, l’attendibilità e l’ogge</w:t>
      </w:r>
      <w:r w:rsidR="006F3867">
        <w:rPr>
          <w:rFonts w:eastAsia="Times New Roman"/>
          <w:color w:val="000000" w:themeColor="text1"/>
          <w:highlight w:val="white"/>
        </w:rPr>
        <w:t xml:space="preserve">ttività delle prove (Benvenuto e </w:t>
      </w:r>
      <w:r w:rsidR="00C419B6" w:rsidRPr="00FD4B6C">
        <w:rPr>
          <w:rFonts w:eastAsia="Times New Roman"/>
          <w:color w:val="000000" w:themeColor="text1"/>
          <w:highlight w:val="white"/>
        </w:rPr>
        <w:t>Lopriore, 1999</w:t>
      </w:r>
      <w:r w:rsidR="00284823" w:rsidRPr="00FD4B6C">
        <w:rPr>
          <w:rFonts w:eastAsia="Times New Roman"/>
          <w:color w:val="000000" w:themeColor="text1"/>
          <w:highlight w:val="white"/>
        </w:rPr>
        <w:t>, pp. 218</w:t>
      </w:r>
      <w:r w:rsidR="00F24E19">
        <w:rPr>
          <w:rFonts w:eastAsia="Times New Roman"/>
          <w:color w:val="000000" w:themeColor="text1"/>
          <w:highlight w:val="white"/>
        </w:rPr>
        <w:t>; cfr. anche Benvenuto, Di Bucci Fel</w:t>
      </w:r>
      <w:r w:rsidR="00CF235E">
        <w:rPr>
          <w:rFonts w:eastAsia="Times New Roman"/>
          <w:color w:val="000000" w:themeColor="text1"/>
          <w:highlight w:val="white"/>
        </w:rPr>
        <w:t xml:space="preserve">icetti, Pozio – INDIRE, </w:t>
      </w:r>
      <w:r w:rsidR="00F24E19">
        <w:rPr>
          <w:rFonts w:eastAsia="Times New Roman"/>
          <w:color w:val="000000" w:themeColor="text1"/>
          <w:highlight w:val="white"/>
        </w:rPr>
        <w:t>2012</w:t>
      </w:r>
      <w:r w:rsidR="00C419B6" w:rsidRPr="00FD4B6C">
        <w:rPr>
          <w:rFonts w:eastAsia="Times New Roman"/>
          <w:color w:val="000000" w:themeColor="text1"/>
          <w:highlight w:val="white"/>
        </w:rPr>
        <w:t>)</w:t>
      </w:r>
      <w:r w:rsidR="0067667E" w:rsidRPr="00FD4B6C">
        <w:rPr>
          <w:rFonts w:eastAsia="Times New Roman"/>
          <w:color w:val="000000" w:themeColor="text1"/>
          <w:highlight w:val="white"/>
        </w:rPr>
        <w:t xml:space="preserve">: </w:t>
      </w:r>
    </w:p>
    <w:p w14:paraId="2C15AEFB" w14:textId="52645AD6" w:rsidR="00284823" w:rsidRPr="00284823" w:rsidRDefault="0067667E" w:rsidP="0028482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posizione e soluzione del problema</w:t>
      </w:r>
      <w:r w:rsidR="00C419B6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(domanda e specificità della richiesta)</w:t>
      </w:r>
      <w:r w:rsidR="00284823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r w:rsidR="00284823" w:rsidRPr="0028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84823" w:rsidRPr="00284823">
        <w:rPr>
          <w:rFonts w:ascii="Times New Roman" w:hAnsi="Times New Roman" w:cs="Times New Roman"/>
          <w:color w:val="000000"/>
          <w:sz w:val="24"/>
          <w:szCs w:val="24"/>
        </w:rPr>
        <w:t>evitare di verificare l’apprendimento mnemonico, 2. le affermazioni devono far riferimento ad una sola idea (elemento/concetto);</w:t>
      </w:r>
    </w:p>
    <w:p w14:paraId="0D49B3A6" w14:textId="77777777" w:rsidR="00284823" w:rsidRDefault="00284823" w:rsidP="0028482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82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67667E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ormulazione linguistica</w:t>
      </w:r>
      <w:r w:rsidR="00237474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(uso della lingua)</w:t>
      </w:r>
      <w:r w:rsidRPr="00284823">
        <w:rPr>
          <w:rFonts w:ascii="Times New Roman" w:eastAsia="Times New Roman" w:hAnsi="Times New Roman" w:cs="Times New Roman"/>
          <w:color w:val="000000"/>
          <w:sz w:val="24"/>
          <w:szCs w:val="24"/>
        </w:rPr>
        <w:t>: 3. e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>vitare di utilizzare negazioni nelle af</w:t>
      </w:r>
      <w:r>
        <w:rPr>
          <w:rFonts w:ascii="Times New Roman" w:hAnsi="Times New Roman" w:cs="Times New Roman"/>
          <w:color w:val="000000"/>
          <w:sz w:val="24"/>
          <w:szCs w:val="24"/>
        </w:rPr>
        <w:t>fermazioni, 4. l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>e affermazioni devono essere espresse in forma chiara e concisa, evitando qu</w:t>
      </w:r>
      <w:r>
        <w:rPr>
          <w:rFonts w:ascii="Times New Roman" w:hAnsi="Times New Roman" w:cs="Times New Roman"/>
          <w:color w:val="000000"/>
          <w:sz w:val="24"/>
          <w:szCs w:val="24"/>
        </w:rPr>
        <w:t>indi dettagli secondari, 5. u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>tilizzare un linguaggio adeguato al livello dei destinatar</w:t>
      </w:r>
      <w:r>
        <w:rPr>
          <w:rFonts w:ascii="Times New Roman" w:hAnsi="Times New Roman" w:cs="Times New Roman"/>
          <w:color w:val="000000"/>
          <w:sz w:val="24"/>
          <w:szCs w:val="24"/>
        </w:rPr>
        <w:t>i e delle tematiche da valutare, 6. e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 xml:space="preserve">vitare l'uso di quantificatori quali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sem</w:t>
      </w:r>
      <w:r w:rsidRPr="002848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848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spesso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848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qualche volta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848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</w:t>
      </w:r>
      <w:r w:rsidRPr="00284823">
        <w:rPr>
          <w:rFonts w:ascii="Times New Roman" w:hAnsi="Times New Roman" w:cs="Times New Roman"/>
          <w:color w:val="000000"/>
          <w:sz w:val="24"/>
          <w:szCs w:val="24"/>
        </w:rPr>
        <w:t xml:space="preserve">, etc. </w:t>
      </w:r>
    </w:p>
    <w:p w14:paraId="010C5AFD" w14:textId="77777777" w:rsidR="00284823" w:rsidRPr="00284823" w:rsidRDefault="0067667E" w:rsidP="0028482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organizzazione dei quesiti </w:t>
      </w:r>
      <w:r w:rsidR="00237474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(ordine e presentazion</w:t>
      </w:r>
      <w:r w:rsidR="00284823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 dei quesiti)</w:t>
      </w:r>
      <w:r w:rsidR="00284823" w:rsidRPr="0028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84823">
        <w:rPr>
          <w:rFonts w:ascii="Times New Roman" w:eastAsia="Times New Roman" w:hAnsi="Times New Roman" w:cs="Times New Roman"/>
          <w:color w:val="000000"/>
          <w:sz w:val="24"/>
          <w:szCs w:val="24"/>
        </w:rPr>
        <w:t>7. c</w:t>
      </w:r>
      <w:r w:rsidR="00284823" w:rsidRPr="00284823">
        <w:rPr>
          <w:rFonts w:ascii="Times" w:hAnsi="Times" w:cs="Times"/>
          <w:color w:val="000000"/>
          <w:sz w:val="24"/>
          <w:szCs w:val="24"/>
        </w:rPr>
        <w:t>ontrollare l’indipendenza delle affermazioni: il rispondere ad una non deve facilitare o pregiudicare la risposta ad un’</w:t>
      </w:r>
      <w:r w:rsidR="00284823">
        <w:rPr>
          <w:rFonts w:ascii="Times" w:hAnsi="Times" w:cs="Times"/>
          <w:color w:val="000000"/>
          <w:sz w:val="24"/>
          <w:szCs w:val="24"/>
        </w:rPr>
        <w:t>altra, 8. i</w:t>
      </w:r>
      <w:r w:rsidR="00284823" w:rsidRPr="00284823">
        <w:rPr>
          <w:rFonts w:ascii="Times" w:hAnsi="Times" w:cs="Times"/>
          <w:color w:val="000000"/>
          <w:sz w:val="24"/>
          <w:szCs w:val="24"/>
        </w:rPr>
        <w:t>l numero delle affermazioni vere e di quelle false (giuste/esatte) dovrebbero bi- l</w:t>
      </w:r>
      <w:r w:rsidR="00284823">
        <w:rPr>
          <w:rFonts w:ascii="Times" w:hAnsi="Times" w:cs="Times"/>
          <w:color w:val="000000"/>
          <w:sz w:val="24"/>
          <w:szCs w:val="24"/>
        </w:rPr>
        <w:t>anciarsi nel totale dei quesiti</w:t>
      </w:r>
    </w:p>
    <w:p w14:paraId="00675F65" w14:textId="065D36EF" w:rsidR="00284823" w:rsidRPr="002A76DC" w:rsidRDefault="0067667E" w:rsidP="002A76D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convenzione grafica </w:t>
      </w:r>
      <w:r w:rsidR="00237474" w:rsidRPr="002848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(aspetti tipografici e di struttura della prova).</w:t>
      </w:r>
    </w:p>
    <w:p w14:paraId="57215B7C" w14:textId="63C108F9" w:rsidR="0093591A" w:rsidRDefault="001A50FB" w:rsidP="003661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highlight w:val="white"/>
        </w:rPr>
      </w:pPr>
      <w:bookmarkStart w:id="0" w:name="_Hlk134199126"/>
      <w:r>
        <w:rPr>
          <w:rFonts w:eastAsia="Times New Roman"/>
          <w:color w:val="000000"/>
          <w:highlight w:val="white"/>
        </w:rPr>
        <w:t>Parallelamente</w:t>
      </w:r>
      <w:r w:rsidR="00B32E08">
        <w:rPr>
          <w:rFonts w:eastAsia="Times New Roman"/>
          <w:color w:val="000000"/>
          <w:highlight w:val="white"/>
        </w:rPr>
        <w:t xml:space="preserve"> </w:t>
      </w:r>
      <w:r w:rsidR="00A83558" w:rsidRPr="006B6602">
        <w:rPr>
          <w:rFonts w:eastAsia="Times New Roman"/>
          <w:color w:val="000000"/>
          <w:highlight w:val="white"/>
        </w:rPr>
        <w:t>Haladyna, Downing e Rodriguez</w:t>
      </w:r>
      <w:r w:rsidR="0084433A">
        <w:rPr>
          <w:rFonts w:eastAsia="Times New Roman"/>
          <w:color w:val="000000"/>
          <w:highlight w:val="white"/>
        </w:rPr>
        <w:t xml:space="preserve"> (2002)</w:t>
      </w:r>
      <w:bookmarkEnd w:id="0"/>
      <w:r w:rsidR="00B32E08">
        <w:rPr>
          <w:rFonts w:eastAsia="Times New Roman"/>
          <w:color w:val="000000"/>
          <w:highlight w:val="white"/>
        </w:rPr>
        <w:t xml:space="preserve">, </w:t>
      </w:r>
      <w:r w:rsidR="00B32E08" w:rsidRPr="006B6602">
        <w:rPr>
          <w:rFonts w:eastAsia="Times New Roman"/>
          <w:color w:val="000000"/>
          <w:highlight w:val="white"/>
        </w:rPr>
        <w:t xml:space="preserve">per la stesura di </w:t>
      </w:r>
      <w:r w:rsidR="0093591A">
        <w:rPr>
          <w:rFonts w:eastAsia="Times New Roman"/>
          <w:color w:val="000000"/>
          <w:highlight w:val="white"/>
        </w:rPr>
        <w:t>domande</w:t>
      </w:r>
      <w:r w:rsidR="00B32E08" w:rsidRPr="006B6602">
        <w:rPr>
          <w:rFonts w:eastAsia="Times New Roman"/>
          <w:color w:val="000000"/>
          <w:highlight w:val="white"/>
        </w:rPr>
        <w:t xml:space="preserve"> a scelta multipla</w:t>
      </w:r>
      <w:r w:rsidR="00B32E08">
        <w:rPr>
          <w:rFonts w:eastAsia="Times New Roman"/>
          <w:color w:val="000000"/>
          <w:highlight w:val="white"/>
        </w:rPr>
        <w:t>,</w:t>
      </w:r>
      <w:r w:rsidR="00B32E08" w:rsidRPr="006B6602">
        <w:rPr>
          <w:rFonts w:eastAsia="Times New Roman"/>
          <w:color w:val="000000"/>
          <w:highlight w:val="white"/>
        </w:rPr>
        <w:t xml:space="preserve"> </w:t>
      </w:r>
      <w:r w:rsidR="002279C7">
        <w:rPr>
          <w:rFonts w:eastAsia="Times New Roman"/>
          <w:color w:val="000000"/>
          <w:highlight w:val="white"/>
        </w:rPr>
        <w:t>ha</w:t>
      </w:r>
      <w:r w:rsidR="00B32E08">
        <w:rPr>
          <w:rFonts w:eastAsia="Times New Roman"/>
          <w:color w:val="000000"/>
          <w:highlight w:val="white"/>
        </w:rPr>
        <w:t xml:space="preserve">nno realizzato una </w:t>
      </w:r>
      <w:r w:rsidR="00A83558" w:rsidRPr="006B6602">
        <w:rPr>
          <w:rFonts w:eastAsia="Times New Roman"/>
          <w:color w:val="000000"/>
          <w:highlight w:val="white"/>
        </w:rPr>
        <w:t>tassonomia di 31</w:t>
      </w:r>
      <w:r w:rsidR="00B32E08">
        <w:rPr>
          <w:rFonts w:eastAsia="Times New Roman"/>
          <w:color w:val="000000"/>
          <w:highlight w:val="white"/>
        </w:rPr>
        <w:t xml:space="preserve"> asserti, da un precedente studio di 44</w:t>
      </w:r>
      <w:r w:rsidR="00935556">
        <w:rPr>
          <w:rFonts w:eastAsia="Times New Roman"/>
          <w:color w:val="000000"/>
          <w:highlight w:val="white"/>
        </w:rPr>
        <w:t xml:space="preserve"> (Haladyna, 1999)</w:t>
      </w:r>
      <w:r w:rsidR="00B32E08">
        <w:rPr>
          <w:rFonts w:eastAsia="Times New Roman"/>
          <w:color w:val="000000"/>
          <w:highlight w:val="white"/>
        </w:rPr>
        <w:t>,</w:t>
      </w:r>
      <w:r w:rsidR="002279C7">
        <w:rPr>
          <w:rFonts w:eastAsia="Times New Roman"/>
          <w:color w:val="000000"/>
          <w:highlight w:val="white"/>
        </w:rPr>
        <w:t xml:space="preserve"> secondo criteri di opportunità</w:t>
      </w:r>
      <w:r w:rsidR="00A83558" w:rsidRPr="006B6602">
        <w:rPr>
          <w:rStyle w:val="Rimandonotaapidipagina"/>
          <w:rFonts w:eastAsia="Times New Roman"/>
          <w:color w:val="000000"/>
          <w:highlight w:val="white"/>
        </w:rPr>
        <w:footnoteReference w:id="4"/>
      </w:r>
      <w:r w:rsidR="002279C7">
        <w:rPr>
          <w:rFonts w:eastAsia="Times New Roman"/>
          <w:color w:val="000000"/>
          <w:highlight w:val="white"/>
        </w:rPr>
        <w:t>,</w:t>
      </w:r>
      <w:r w:rsidR="00A83558" w:rsidRPr="006B6602">
        <w:rPr>
          <w:rFonts w:eastAsia="Times New Roman"/>
          <w:color w:val="000000"/>
          <w:highlight w:val="white"/>
        </w:rPr>
        <w:t xml:space="preserve"> suddivise in </w:t>
      </w:r>
      <w:r w:rsidR="002279C7">
        <w:rPr>
          <w:rFonts w:eastAsia="Times New Roman"/>
          <w:color w:val="000000"/>
          <w:highlight w:val="white"/>
        </w:rPr>
        <w:t>quattro</w:t>
      </w:r>
      <w:r w:rsidR="00A83558" w:rsidRPr="006B6602">
        <w:rPr>
          <w:rFonts w:eastAsia="Times New Roman"/>
          <w:color w:val="000000"/>
          <w:highlight w:val="white"/>
        </w:rPr>
        <w:t xml:space="preserve"> categorie</w:t>
      </w:r>
      <w:r w:rsidR="0093591A">
        <w:rPr>
          <w:rFonts w:eastAsia="Times New Roman"/>
          <w:color w:val="000000"/>
          <w:highlight w:val="white"/>
        </w:rPr>
        <w:t xml:space="preserve"> (Tab. 1)</w:t>
      </w:r>
      <w:r w:rsidR="00A83558" w:rsidRPr="006B6602">
        <w:rPr>
          <w:rFonts w:eastAsia="Times New Roman"/>
          <w:color w:val="000000"/>
          <w:highlight w:val="white"/>
        </w:rPr>
        <w:t xml:space="preserve">: </w:t>
      </w:r>
    </w:p>
    <w:tbl>
      <w:tblPr>
        <w:tblStyle w:val="Grigliatabella"/>
        <w:tblW w:w="962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591A" w14:paraId="38F7ADDD" w14:textId="77777777" w:rsidTr="000E3573">
        <w:trPr>
          <w:trHeight w:val="3787"/>
          <w:jc w:val="center"/>
        </w:trPr>
        <w:tc>
          <w:tcPr>
            <w:tcW w:w="4814" w:type="dxa"/>
          </w:tcPr>
          <w:p w14:paraId="76E1E15C" w14:textId="13E71322" w:rsidR="0093591A" w:rsidRPr="00CF235E" w:rsidRDefault="00CF235E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lastRenderedPageBreak/>
              <w:t>Aspetti</w:t>
            </w:r>
            <w:r w:rsidR="0093591A" w:rsidRPr="00CF235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di contenuto</w:t>
            </w:r>
          </w:p>
          <w:p w14:paraId="528F8307" w14:textId="28CFF3E5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1. Ogni </w:t>
            </w:r>
            <w:r w:rsidR="007061E9">
              <w:rPr>
                <w:rFonts w:eastAsia="Times New Roman"/>
                <w:color w:val="000000"/>
                <w:sz w:val="22"/>
                <w:szCs w:val="22"/>
              </w:rPr>
              <w:t>item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 dovrebbe riflettere un contenuto specifico e un singolo processo mentale specifico.</w:t>
            </w:r>
          </w:p>
          <w:p w14:paraId="66A28014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2. Basare ogni elemento su contenuti importanti da imparare; evitare contenuti banali.</w:t>
            </w:r>
          </w:p>
          <w:p w14:paraId="0318659F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3. Utilizzare materiale nuovo per testare l'apprendimento di livello superiore.</w:t>
            </w:r>
          </w:p>
          <w:p w14:paraId="59FF3CE2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4. Mantenere il contenuto di ciascun item indipendente dal contenuto di altri item del test.</w:t>
            </w:r>
          </w:p>
          <w:p w14:paraId="2FCF85D1" w14:textId="1FA9F330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5. Evitare contenuti troppo specifici e troppo gene</w:t>
            </w:r>
            <w:r w:rsidR="00D82D82">
              <w:rPr>
                <w:rFonts w:eastAsia="Times New Roman"/>
                <w:color w:val="000000"/>
                <w:sz w:val="22"/>
                <w:szCs w:val="22"/>
              </w:rPr>
              <w:t>rici nella scrittura degli item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14:paraId="474D79FE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6. Evitare item basati sull'opinione pubblica.</w:t>
            </w:r>
          </w:p>
          <w:p w14:paraId="024DE1AA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7. Evitare item ingannevoli.</w:t>
            </w:r>
          </w:p>
          <w:p w14:paraId="6D6FF221" w14:textId="4FAE33ED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8. Mantenere il vocabolario semplice per il gruppo di studenti in esame.</w:t>
            </w:r>
          </w:p>
        </w:tc>
        <w:tc>
          <w:tcPr>
            <w:tcW w:w="4814" w:type="dxa"/>
          </w:tcPr>
          <w:p w14:paraId="41BB77D7" w14:textId="176DDA29" w:rsidR="0093591A" w:rsidRPr="00CF235E" w:rsidRDefault="002A76DC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b/>
                <w:color w:val="000000"/>
                <w:sz w:val="22"/>
                <w:szCs w:val="22"/>
              </w:rPr>
              <w:t>Scrivere il quesito</w:t>
            </w:r>
          </w:p>
          <w:p w14:paraId="4FF147D9" w14:textId="08768016" w:rsidR="0093591A" w:rsidRPr="00CF235E" w:rsidRDefault="002A76DC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14. Assicurarsi che le formulazioni dei quesiti siano 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>molto chiare.</w:t>
            </w:r>
          </w:p>
          <w:p w14:paraId="765E3A61" w14:textId="2B3D1B0F" w:rsidR="0093591A" w:rsidRPr="00CF235E" w:rsidRDefault="002A76DC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15. Includere l'idea centrale nel quesito 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 xml:space="preserve">invece 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che nelle alternative di risposta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14:paraId="17F28052" w14:textId="5F99683E" w:rsidR="0093591A" w:rsidRPr="00CF235E" w:rsidRDefault="002A76DC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16. Evitare verbosità eccessiva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14:paraId="7AA8CE1A" w14:textId="3F7D1DF7" w:rsidR="0093591A" w:rsidRPr="00CF235E" w:rsidRDefault="002A76DC" w:rsidP="002A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17. Formulare il quesito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 xml:space="preserve"> positivamente, evita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re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 xml:space="preserve"> negativi come 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‘non’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 xml:space="preserve"> o 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‘tranne’, o nel caso metterli in evidenza</w:t>
            </w:r>
            <w:r w:rsidR="0093591A" w:rsidRPr="00CF235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93591A" w14:paraId="7EDC5A6C" w14:textId="77777777" w:rsidTr="000E3573">
        <w:trPr>
          <w:jc w:val="center"/>
        </w:trPr>
        <w:tc>
          <w:tcPr>
            <w:tcW w:w="4814" w:type="dxa"/>
          </w:tcPr>
          <w:p w14:paraId="7BB34CC8" w14:textId="7D789C48" w:rsidR="0093591A" w:rsidRPr="00CF235E" w:rsidRDefault="00CF235E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Aspetti di formato</w:t>
            </w:r>
          </w:p>
          <w:p w14:paraId="28959682" w14:textId="5E640E36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9. Usare le </w:t>
            </w:r>
            <w:r w:rsidR="00B3319A" w:rsidRPr="00CF235E">
              <w:rPr>
                <w:rFonts w:eastAsia="Times New Roman"/>
                <w:color w:val="000000"/>
                <w:sz w:val="22"/>
                <w:szCs w:val="22"/>
              </w:rPr>
              <w:t xml:space="preserve">formulazioni di formati più convenzionali - completamento, scelta tra alternative, vero-falso, 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corrispondenza </w:t>
            </w:r>
            <w:r w:rsidR="00B3319A" w:rsidRPr="00CF235E">
              <w:rPr>
                <w:rFonts w:eastAsia="Times New Roman"/>
                <w:color w:val="000000"/>
                <w:sz w:val="22"/>
                <w:szCs w:val="22"/>
              </w:rPr>
              <w:t>-, evitare formulazioni complesse di formati</w:t>
            </w:r>
            <w:r w:rsidR="000F5027" w:rsidRPr="00CF235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14:paraId="10D5B8DA" w14:textId="7860D312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10. Formattare l’item verticalmente anziché orizzontalmente.</w:t>
            </w:r>
          </w:p>
        </w:tc>
        <w:tc>
          <w:tcPr>
            <w:tcW w:w="4814" w:type="dxa"/>
            <w:vMerge w:val="restart"/>
          </w:tcPr>
          <w:p w14:paraId="13BF20C6" w14:textId="5A8BF91E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b/>
                <w:color w:val="000000"/>
                <w:sz w:val="22"/>
                <w:szCs w:val="22"/>
              </w:rPr>
              <w:t>Scrivere le alternative di risposta</w:t>
            </w:r>
          </w:p>
          <w:p w14:paraId="26590195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18. Stendere il maggior numero possibile di scelte efficaci (tre sono adeguate).</w:t>
            </w:r>
          </w:p>
          <w:p w14:paraId="3F9E66B4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19. Assicurarsi che solo una di queste scelte sia la risposta giusta.</w:t>
            </w:r>
          </w:p>
          <w:p w14:paraId="3AD6DC5C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20. Variare la posizione della risposta giusta in base al numero di scelte.</w:t>
            </w:r>
          </w:p>
          <w:p w14:paraId="5FD08E83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21. Posizionare le scelte in ordine logico o numerico.</w:t>
            </w:r>
          </w:p>
          <w:p w14:paraId="5EF8104E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22. Mantenere le scelte indipendenti e non sovrapponibili.</w:t>
            </w:r>
          </w:p>
          <w:p w14:paraId="6D965C92" w14:textId="6E7385B6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23. Mantenere </w:t>
            </w:r>
            <w:r w:rsidR="00BF26F1" w:rsidRPr="00CF235E">
              <w:rPr>
                <w:rFonts w:eastAsia="Times New Roman"/>
                <w:color w:val="000000"/>
                <w:sz w:val="22"/>
                <w:szCs w:val="22"/>
              </w:rPr>
              <w:t xml:space="preserve">le 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scelte omogenee nel contenuto e nella struttura grammaticale.</w:t>
            </w:r>
          </w:p>
          <w:p w14:paraId="3C6A3DE2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24. Mantenere la lunghezza delle scelte più o meno uguale.</w:t>
            </w:r>
          </w:p>
          <w:p w14:paraId="52D4CFDB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25. ‘Nessuno dei precedenti’ dovrebbe essere usato con parsimonia.</w:t>
            </w:r>
          </w:p>
          <w:p w14:paraId="4936ECB5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26. Evitare ‘tutti i precedenti’.</w:t>
            </w:r>
          </w:p>
          <w:p w14:paraId="5B23C806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27. Scrivere frase in positivo; evitare negativi come ‘no’.</w:t>
            </w:r>
          </w:p>
          <w:p w14:paraId="06BD7A15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28. Evitare di dare indizi sulla risposta giusta.</w:t>
            </w:r>
          </w:p>
          <w:p w14:paraId="2E011A52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29. Rendere plausibili tutti i distrattori.</w:t>
            </w:r>
          </w:p>
          <w:p w14:paraId="7B5B9972" w14:textId="745DC8D9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30. Usare gli errori tipici deg</w:t>
            </w:r>
            <w:r w:rsidR="007413FC">
              <w:rPr>
                <w:rFonts w:eastAsia="Times New Roman"/>
                <w:color w:val="000000"/>
                <w:sz w:val="22"/>
                <w:szCs w:val="22"/>
              </w:rPr>
              <w:t xml:space="preserve">li studenti per scrivere i 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distrattori.</w:t>
            </w:r>
          </w:p>
          <w:p w14:paraId="72213432" w14:textId="35BF943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31. Usare l'umorismo se è compatibile con l'insegnante e l'ambiente di apprendimento.</w:t>
            </w:r>
          </w:p>
        </w:tc>
      </w:tr>
      <w:tr w:rsidR="0093591A" w14:paraId="097EABB5" w14:textId="77777777" w:rsidTr="000E3573">
        <w:trPr>
          <w:jc w:val="center"/>
        </w:trPr>
        <w:tc>
          <w:tcPr>
            <w:tcW w:w="4814" w:type="dxa"/>
          </w:tcPr>
          <w:p w14:paraId="3D78574C" w14:textId="6ECD0B67" w:rsidR="0093591A" w:rsidRPr="00CF235E" w:rsidRDefault="00CF235E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Aspetti</w:t>
            </w:r>
            <w:r w:rsidR="0093591A" w:rsidRPr="00CF235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di stile</w:t>
            </w:r>
          </w:p>
          <w:p w14:paraId="4CB9E03E" w14:textId="77777777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11. Modificare e controllare gli item.</w:t>
            </w:r>
          </w:p>
          <w:p w14:paraId="11DC7801" w14:textId="2688F1CD" w:rsidR="0093591A" w:rsidRPr="00CF235E" w:rsidRDefault="0093591A" w:rsidP="00935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>12. Usa</w:t>
            </w:r>
            <w:r w:rsidR="002A76DC" w:rsidRPr="00CF235E">
              <w:rPr>
                <w:rFonts w:eastAsia="Times New Roman"/>
                <w:color w:val="000000"/>
                <w:sz w:val="22"/>
                <w:szCs w:val="22"/>
              </w:rPr>
              <w:t>re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 grammatica, punteggiatura, lettere maiuscole e ortografia corrette. </w:t>
            </w:r>
          </w:p>
          <w:p w14:paraId="6685CF9A" w14:textId="17930535" w:rsidR="0093591A" w:rsidRDefault="0093591A" w:rsidP="002A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highlight w:val="white"/>
              </w:rPr>
            </w:pPr>
            <w:r w:rsidRPr="00CF235E">
              <w:rPr>
                <w:rFonts w:eastAsia="Times New Roman"/>
                <w:color w:val="000000"/>
                <w:sz w:val="22"/>
                <w:szCs w:val="22"/>
              </w:rPr>
              <w:t xml:space="preserve">13. Ridurre al minimo la quantità di lettura in ogni </w:t>
            </w:r>
            <w:r w:rsidR="002A76DC" w:rsidRPr="00CF235E">
              <w:rPr>
                <w:rFonts w:eastAsia="Times New Roman"/>
                <w:color w:val="000000"/>
                <w:sz w:val="22"/>
                <w:szCs w:val="22"/>
              </w:rPr>
              <w:t>item</w:t>
            </w:r>
            <w:r w:rsidRPr="00CF235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14" w:type="dxa"/>
            <w:vMerge/>
          </w:tcPr>
          <w:p w14:paraId="367A3637" w14:textId="77777777" w:rsidR="0093591A" w:rsidRDefault="0093591A" w:rsidP="00366137">
            <w:pPr>
              <w:spacing w:line="360" w:lineRule="auto"/>
              <w:jc w:val="both"/>
              <w:rPr>
                <w:rFonts w:eastAsia="Times New Roman"/>
                <w:color w:val="000000"/>
                <w:highlight w:val="white"/>
              </w:rPr>
            </w:pPr>
          </w:p>
        </w:tc>
      </w:tr>
    </w:tbl>
    <w:p w14:paraId="43B1AB91" w14:textId="618732F1" w:rsidR="00366137" w:rsidRPr="00084341" w:rsidRDefault="00D82D82" w:rsidP="002A7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  <w:highlight w:val="white"/>
          <w:lang w:val="en-US"/>
        </w:rPr>
      </w:pPr>
      <w:r>
        <w:rPr>
          <w:rFonts w:eastAsia="Times New Roman"/>
          <w:color w:val="000000"/>
          <w:sz w:val="20"/>
          <w:szCs w:val="20"/>
        </w:rPr>
        <w:t xml:space="preserve">Tabella 1 - </w:t>
      </w:r>
      <w:r w:rsidR="002A76DC" w:rsidRPr="002A76DC">
        <w:rPr>
          <w:rFonts w:eastAsia="Times New Roman"/>
          <w:color w:val="000000"/>
          <w:sz w:val="20"/>
          <w:szCs w:val="20"/>
        </w:rPr>
        <w:t xml:space="preserve">Tassonomia per </w:t>
      </w:r>
      <w:r>
        <w:rPr>
          <w:rFonts w:eastAsia="Times New Roman"/>
          <w:color w:val="000000"/>
          <w:sz w:val="20"/>
          <w:szCs w:val="20"/>
        </w:rPr>
        <w:t>le</w:t>
      </w:r>
      <w:r w:rsidR="002A76DC" w:rsidRPr="002A76DC">
        <w:rPr>
          <w:rFonts w:eastAsia="Times New Roman"/>
          <w:color w:val="000000"/>
          <w:sz w:val="20"/>
          <w:szCs w:val="20"/>
        </w:rPr>
        <w:t xml:space="preserve"> domande a scelta multipla. </w:t>
      </w:r>
      <w:r w:rsidR="002A76DC" w:rsidRPr="002A76DC">
        <w:rPr>
          <w:rFonts w:eastAsia="Times New Roman"/>
          <w:color w:val="000000"/>
          <w:sz w:val="20"/>
          <w:szCs w:val="20"/>
          <w:lang w:val="en-US"/>
        </w:rPr>
        <w:t xml:space="preserve">Adatt. </w:t>
      </w:r>
      <w:r w:rsidR="0084433A" w:rsidRPr="00084341">
        <w:rPr>
          <w:rFonts w:eastAsia="Times New Roman"/>
          <w:color w:val="000000"/>
          <w:sz w:val="20"/>
          <w:szCs w:val="20"/>
          <w:highlight w:val="white"/>
          <w:lang w:val="en-US"/>
        </w:rPr>
        <w:t>Haladyna, Downing, Rodriguez, 2002</w:t>
      </w:r>
      <w:r w:rsidR="002A76DC" w:rsidRPr="00084341">
        <w:rPr>
          <w:rFonts w:eastAsia="Times New Roman"/>
          <w:color w:val="000000"/>
          <w:sz w:val="20"/>
          <w:szCs w:val="20"/>
          <w:highlight w:val="white"/>
          <w:lang w:val="en-US"/>
        </w:rPr>
        <w:t>, p. 321</w:t>
      </w:r>
      <w:r w:rsidR="00A83558" w:rsidRPr="00084341">
        <w:rPr>
          <w:rFonts w:eastAsia="Times New Roman"/>
          <w:color w:val="000000"/>
          <w:sz w:val="20"/>
          <w:szCs w:val="20"/>
          <w:highlight w:val="white"/>
          <w:lang w:val="en-US"/>
        </w:rPr>
        <w:t>.</w:t>
      </w:r>
    </w:p>
    <w:p w14:paraId="29AE5D13" w14:textId="65CB1494" w:rsidR="00296680" w:rsidRPr="002C5417" w:rsidRDefault="0093591A" w:rsidP="00352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Più di recente Simsek</w:t>
      </w:r>
      <w:r w:rsidR="0025601C">
        <w:rPr>
          <w:rFonts w:eastAsia="Times New Roman"/>
        </w:rPr>
        <w:t xml:space="preserve"> (2016)</w:t>
      </w:r>
      <w:r>
        <w:rPr>
          <w:rFonts w:eastAsia="Times New Roman"/>
        </w:rPr>
        <w:t xml:space="preserve">, in riferimento a precedenti </w:t>
      </w:r>
      <w:r w:rsidRPr="002C5417">
        <w:rPr>
          <w:rFonts w:eastAsia="Times New Roman"/>
          <w:color w:val="000000" w:themeColor="text1"/>
        </w:rPr>
        <w:t xml:space="preserve">studi di </w:t>
      </w:r>
      <w:r w:rsidR="007C19DA" w:rsidRPr="002C5417">
        <w:rPr>
          <w:rFonts w:eastAsia="Times New Roman"/>
          <w:color w:val="000000" w:themeColor="text1"/>
        </w:rPr>
        <w:t>G. Wiggins</w:t>
      </w:r>
      <w:r w:rsidRPr="002C5417">
        <w:rPr>
          <w:rFonts w:eastAsia="Times New Roman"/>
          <w:color w:val="000000" w:themeColor="text1"/>
        </w:rPr>
        <w:t xml:space="preserve"> sulla valutazione scolastica e </w:t>
      </w:r>
      <w:r w:rsidR="00273BE5" w:rsidRPr="002C5417">
        <w:rPr>
          <w:rFonts w:eastAsia="Times New Roman"/>
          <w:color w:val="000000" w:themeColor="text1"/>
        </w:rPr>
        <w:t>al</w:t>
      </w:r>
      <w:r w:rsidRPr="002C5417">
        <w:rPr>
          <w:rFonts w:eastAsia="Times New Roman"/>
          <w:color w:val="000000" w:themeColor="text1"/>
        </w:rPr>
        <w:t>le riflessioni di Zhang e Burry-Stock (2003) sulla formazione insegnante</w:t>
      </w:r>
      <w:r w:rsidR="00273BE5" w:rsidRPr="002C5417">
        <w:rPr>
          <w:rFonts w:eastAsia="Times New Roman"/>
          <w:color w:val="000000" w:themeColor="text1"/>
        </w:rPr>
        <w:t xml:space="preserve">, </w:t>
      </w:r>
      <w:r w:rsidRPr="002C5417">
        <w:rPr>
          <w:rFonts w:eastAsia="Times New Roman"/>
          <w:color w:val="000000" w:themeColor="text1"/>
        </w:rPr>
        <w:t xml:space="preserve">ha </w:t>
      </w:r>
      <w:r w:rsidR="00634694" w:rsidRPr="002C5417">
        <w:rPr>
          <w:rFonts w:eastAsia="Times New Roman"/>
          <w:color w:val="000000" w:themeColor="text1"/>
        </w:rPr>
        <w:t>sintetizzato</w:t>
      </w:r>
      <w:r w:rsidRPr="002C5417">
        <w:rPr>
          <w:rFonts w:eastAsia="Times New Roman"/>
          <w:color w:val="000000" w:themeColor="text1"/>
        </w:rPr>
        <w:t xml:space="preserve"> 8 criteri-</w:t>
      </w:r>
      <w:r w:rsidR="00B1044C" w:rsidRPr="002C5417">
        <w:rPr>
          <w:rFonts w:eastAsia="Times New Roman"/>
          <w:color w:val="000000" w:themeColor="text1"/>
        </w:rPr>
        <w:t>base per la progettazione</w:t>
      </w:r>
      <w:r w:rsidR="00273BE5" w:rsidRPr="002C5417">
        <w:rPr>
          <w:rFonts w:eastAsia="Times New Roman"/>
          <w:color w:val="000000" w:themeColor="text1"/>
        </w:rPr>
        <w:t xml:space="preserve"> di prove di verifica che, rispetto alle precedenti, </w:t>
      </w:r>
      <w:r w:rsidR="001A50FB" w:rsidRPr="002C5417">
        <w:rPr>
          <w:rFonts w:eastAsia="Times New Roman"/>
          <w:color w:val="000000" w:themeColor="text1"/>
        </w:rPr>
        <w:t>integrano anche la necessità di</w:t>
      </w:r>
      <w:r w:rsidR="00352D0C" w:rsidRPr="002C5417">
        <w:rPr>
          <w:rFonts w:eastAsia="Times New Roman"/>
          <w:color w:val="000000" w:themeColor="text1"/>
        </w:rPr>
        <w:t xml:space="preserve"> a. </w:t>
      </w:r>
      <w:r w:rsidR="00634694" w:rsidRPr="002C5417">
        <w:rPr>
          <w:rFonts w:eastAsia="Times New Roman"/>
          <w:color w:val="000000" w:themeColor="text1"/>
        </w:rPr>
        <w:t>c</w:t>
      </w:r>
      <w:r w:rsidR="00B1044C" w:rsidRPr="002C5417">
        <w:rPr>
          <w:rFonts w:eastAsia="Times New Roman"/>
          <w:color w:val="000000" w:themeColor="text1"/>
        </w:rPr>
        <w:t>onsiderare gli obiettivi di apprendimento</w:t>
      </w:r>
      <w:r w:rsidR="00634694" w:rsidRPr="002C5417">
        <w:rPr>
          <w:rFonts w:eastAsia="Times New Roman"/>
          <w:color w:val="000000" w:themeColor="text1"/>
        </w:rPr>
        <w:t xml:space="preserve"> e dichiarare a quale obiettivo (o sotto-obiettivo) di apprendimento è legata la prova e ciascun item;</w:t>
      </w:r>
      <w:r w:rsidR="00352D0C" w:rsidRPr="002C5417">
        <w:rPr>
          <w:rFonts w:eastAsia="Times New Roman"/>
          <w:color w:val="000000" w:themeColor="text1"/>
        </w:rPr>
        <w:t xml:space="preserve"> b. </w:t>
      </w:r>
      <w:r w:rsidR="00634694" w:rsidRPr="002C5417">
        <w:rPr>
          <w:rFonts w:eastAsia="Times New Roman"/>
          <w:color w:val="000000" w:themeColor="text1"/>
        </w:rPr>
        <w:t xml:space="preserve">assicurarsi </w:t>
      </w:r>
      <w:r w:rsidR="00352D0C" w:rsidRPr="002C5417">
        <w:rPr>
          <w:rFonts w:eastAsia="Times New Roman"/>
          <w:color w:val="000000" w:themeColor="text1"/>
        </w:rPr>
        <w:t>del</w:t>
      </w:r>
      <w:r w:rsidR="00634694" w:rsidRPr="002C5417">
        <w:rPr>
          <w:rFonts w:eastAsia="Times New Roman"/>
          <w:color w:val="000000" w:themeColor="text1"/>
        </w:rPr>
        <w:t xml:space="preserve"> livello medio </w:t>
      </w:r>
      <w:r w:rsidR="00352D0C" w:rsidRPr="002C5417">
        <w:rPr>
          <w:rFonts w:eastAsia="Times New Roman"/>
          <w:color w:val="000000" w:themeColor="text1"/>
        </w:rPr>
        <w:t xml:space="preserve">di competenze </w:t>
      </w:r>
      <w:r w:rsidR="00634694" w:rsidRPr="002C5417">
        <w:rPr>
          <w:rFonts w:eastAsia="Times New Roman"/>
          <w:color w:val="000000" w:themeColor="text1"/>
        </w:rPr>
        <w:t xml:space="preserve">necessario </w:t>
      </w:r>
      <w:r w:rsidR="00352D0C" w:rsidRPr="002C5417">
        <w:rPr>
          <w:rFonts w:eastAsia="Times New Roman"/>
          <w:color w:val="000000" w:themeColor="text1"/>
        </w:rPr>
        <w:t>per affrontare la prova proposta.</w:t>
      </w:r>
    </w:p>
    <w:p w14:paraId="334B5F16" w14:textId="6FDFB3B4" w:rsidR="00296680" w:rsidRPr="0025601C" w:rsidRDefault="001A50FB" w:rsidP="00352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</w:rPr>
      </w:pPr>
      <w:r w:rsidRPr="002C5417">
        <w:rPr>
          <w:rFonts w:eastAsia="Times New Roman"/>
          <w:color w:val="000000" w:themeColor="text1"/>
        </w:rPr>
        <w:t>S</w:t>
      </w:r>
      <w:r w:rsidR="00296680" w:rsidRPr="002C5417">
        <w:rPr>
          <w:rFonts w:eastAsia="Times New Roman"/>
          <w:color w:val="000000" w:themeColor="text1"/>
        </w:rPr>
        <w:t>ono state</w:t>
      </w:r>
      <w:r w:rsidRPr="002C5417">
        <w:rPr>
          <w:rFonts w:eastAsia="Times New Roman"/>
          <w:color w:val="000000" w:themeColor="text1"/>
        </w:rPr>
        <w:t>,</w:t>
      </w:r>
      <w:r w:rsidR="00296680" w:rsidRPr="002C5417">
        <w:rPr>
          <w:rFonts w:eastAsia="Times New Roman"/>
          <w:color w:val="000000" w:themeColor="text1"/>
        </w:rPr>
        <w:t xml:space="preserve"> </w:t>
      </w:r>
      <w:r w:rsidR="00352D0C" w:rsidRPr="002C5417">
        <w:rPr>
          <w:rFonts w:eastAsia="Times New Roman"/>
          <w:color w:val="000000" w:themeColor="text1"/>
        </w:rPr>
        <w:t>inoltre</w:t>
      </w:r>
      <w:r w:rsidRPr="002C5417">
        <w:rPr>
          <w:rFonts w:eastAsia="Times New Roman"/>
          <w:color w:val="000000" w:themeColor="text1"/>
        </w:rPr>
        <w:t>,</w:t>
      </w:r>
      <w:r w:rsidR="00352D0C" w:rsidRPr="002C5417">
        <w:rPr>
          <w:rFonts w:eastAsia="Times New Roman"/>
          <w:color w:val="000000" w:themeColor="text1"/>
        </w:rPr>
        <w:t xml:space="preserve"> </w:t>
      </w:r>
      <w:r w:rsidR="00296680" w:rsidRPr="002C5417">
        <w:rPr>
          <w:rFonts w:eastAsia="Times New Roman"/>
          <w:color w:val="000000" w:themeColor="text1"/>
        </w:rPr>
        <w:t>condotte indagini sul peso che i distruttori integrati nella formulazione degli item hanno sulla prestazione finale (Ali, Carr, Rut, 2016; Rodriguez, Kettler, Elliott, 2014) e</w:t>
      </w:r>
      <w:r w:rsidR="0046607E" w:rsidRPr="002C5417">
        <w:rPr>
          <w:rFonts w:eastAsia="Times New Roman"/>
          <w:color w:val="000000" w:themeColor="text1"/>
        </w:rPr>
        <w:t xml:space="preserve">, nell’area </w:t>
      </w:r>
      <w:r w:rsidR="0046607E" w:rsidRPr="002C5417">
        <w:rPr>
          <w:rFonts w:eastAsia="Times New Roman"/>
          <w:color w:val="000000" w:themeColor="text1"/>
        </w:rPr>
        <w:lastRenderedPageBreak/>
        <w:t>degli apprendimenti di geometria, sono stati realizzati studi</w:t>
      </w:r>
      <w:r w:rsidR="00923B33" w:rsidRPr="002C5417">
        <w:rPr>
          <w:rFonts w:eastAsia="Times New Roman"/>
          <w:color w:val="000000" w:themeColor="text1"/>
        </w:rPr>
        <w:t xml:space="preserve"> sulla relazione tra concetti geometrici e rappresentazioni di essi all’interno delle prove di valutazione scolastica </w:t>
      </w:r>
      <w:r w:rsidR="00BE0D95" w:rsidRPr="002C5417">
        <w:rPr>
          <w:rFonts w:eastAsia="Times New Roman"/>
          <w:color w:val="000000" w:themeColor="text1"/>
        </w:rPr>
        <w:t>(Solihatun et al., 2018)</w:t>
      </w:r>
      <w:r w:rsidR="00296680" w:rsidRPr="002C5417">
        <w:rPr>
          <w:rFonts w:eastAsia="Times New Roman"/>
          <w:color w:val="000000" w:themeColor="text1"/>
        </w:rPr>
        <w:t>.</w:t>
      </w:r>
    </w:p>
    <w:p w14:paraId="49A8F3BE" w14:textId="5C830A96" w:rsidR="003F6B12" w:rsidRPr="00B9097C" w:rsidRDefault="006F47B1" w:rsidP="0025601C">
      <w:pPr>
        <w:pStyle w:val="Titolo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9097C">
        <w:rPr>
          <w:rFonts w:ascii="Times New Roman" w:hAnsi="Times New Roman" w:cs="Times New Roman"/>
          <w:sz w:val="24"/>
          <w:szCs w:val="24"/>
        </w:rPr>
        <w:t>L’indagine</w:t>
      </w:r>
      <w:r w:rsidR="00AF2C1C" w:rsidRPr="00B9097C">
        <w:rPr>
          <w:rFonts w:ascii="Times New Roman" w:hAnsi="Times New Roman" w:cs="Times New Roman"/>
          <w:sz w:val="24"/>
          <w:szCs w:val="24"/>
        </w:rPr>
        <w:t xml:space="preserve"> </w:t>
      </w:r>
      <w:r w:rsidR="001A50FB" w:rsidRPr="00B9097C">
        <w:rPr>
          <w:rFonts w:ascii="Times New Roman" w:hAnsi="Times New Roman" w:cs="Times New Roman"/>
          <w:sz w:val="24"/>
          <w:szCs w:val="24"/>
        </w:rPr>
        <w:t xml:space="preserve">sulle prove di </w:t>
      </w:r>
      <w:r w:rsidR="00B9097C" w:rsidRPr="00B9097C">
        <w:rPr>
          <w:rFonts w:ascii="Times New Roman" w:hAnsi="Times New Roman" w:cs="Times New Roman"/>
          <w:sz w:val="24"/>
          <w:szCs w:val="24"/>
        </w:rPr>
        <w:t>verifica scolastica</w:t>
      </w:r>
      <w:r w:rsidR="001A50FB" w:rsidRPr="00B90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F5214" w14:textId="30DB67D3" w:rsidR="00EF77C3" w:rsidRPr="006B6602" w:rsidRDefault="00AE443A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Viene di seguito presentata</w:t>
      </w:r>
      <w:r w:rsidR="00D70309">
        <w:rPr>
          <w:rFonts w:eastAsia="Times New Roman"/>
        </w:rPr>
        <w:t xml:space="preserve"> l’</w:t>
      </w:r>
      <w:r w:rsidR="00AF2C1C" w:rsidRPr="006B6602">
        <w:rPr>
          <w:rFonts w:eastAsia="Times New Roman"/>
        </w:rPr>
        <w:t xml:space="preserve">indagine realizzata </w:t>
      </w:r>
      <w:r w:rsidR="004E0684">
        <w:rPr>
          <w:rFonts w:eastAsia="Times New Roman"/>
        </w:rPr>
        <w:t>nell’ambito</w:t>
      </w:r>
      <w:r w:rsidR="005E377A" w:rsidRPr="001A50FB">
        <w:rPr>
          <w:rFonts w:eastAsia="Times New Roman"/>
          <w:color w:val="000000" w:themeColor="text1"/>
        </w:rPr>
        <w:t xml:space="preserve"> del </w:t>
      </w:r>
      <w:r w:rsidR="00AF2C1C" w:rsidRPr="001A50FB">
        <w:rPr>
          <w:rFonts w:eastAsia="Times New Roman"/>
          <w:color w:val="000000" w:themeColor="text1"/>
        </w:rPr>
        <w:t xml:space="preserve">lavoro di tesi </w:t>
      </w:r>
      <w:r w:rsidR="0011179F">
        <w:rPr>
          <w:rFonts w:eastAsia="Times New Roman"/>
          <w:color w:val="000000" w:themeColor="text1"/>
        </w:rPr>
        <w:t xml:space="preserve">dal titolo </w:t>
      </w:r>
      <w:r w:rsidR="00D70309" w:rsidRPr="001A50FB">
        <w:rPr>
          <w:rFonts w:eastAsia="Times New Roman"/>
          <w:color w:val="000000" w:themeColor="text1"/>
        </w:rPr>
        <w:t xml:space="preserve">‘Il ruolo delle misconcezioni geometriche nell’apprendimento degli </w:t>
      </w:r>
      <w:r w:rsidR="00D70309" w:rsidRPr="007E4168">
        <w:rPr>
          <w:rFonts w:eastAsia="Times New Roman"/>
          <w:color w:val="000000" w:themeColor="text1"/>
        </w:rPr>
        <w:t xml:space="preserve">studenti’ </w:t>
      </w:r>
      <w:r w:rsidR="001A50FB" w:rsidRPr="007E4168">
        <w:rPr>
          <w:rFonts w:eastAsia="Times New Roman"/>
          <w:color w:val="000000" w:themeColor="text1"/>
        </w:rPr>
        <w:t xml:space="preserve">nell’a.a. 2021/22 e </w:t>
      </w:r>
      <w:r w:rsidR="00D70309" w:rsidRPr="007E4168">
        <w:rPr>
          <w:rFonts w:eastAsia="Times New Roman"/>
          <w:color w:val="000000" w:themeColor="text1"/>
        </w:rPr>
        <w:t xml:space="preserve">relativo all’insegnamento di </w:t>
      </w:r>
      <w:r w:rsidR="00AF2C1C" w:rsidRPr="007E4168">
        <w:rPr>
          <w:rFonts w:eastAsia="Times New Roman"/>
          <w:color w:val="000000" w:themeColor="text1"/>
        </w:rPr>
        <w:t>‘</w:t>
      </w:r>
      <w:r w:rsidR="007E4168" w:rsidRPr="007E4168">
        <w:rPr>
          <w:rFonts w:eastAsia="Times New Roman"/>
          <w:color w:val="000000" w:themeColor="text1"/>
        </w:rPr>
        <w:t>Problemi e tecniche dalla valutazione</w:t>
      </w:r>
      <w:r w:rsidR="00AF2C1C" w:rsidRPr="007E4168">
        <w:rPr>
          <w:rFonts w:eastAsia="Times New Roman"/>
          <w:color w:val="000000" w:themeColor="text1"/>
        </w:rPr>
        <w:t xml:space="preserve">’ </w:t>
      </w:r>
      <w:r w:rsidR="00D70309" w:rsidRPr="007E4168">
        <w:rPr>
          <w:rFonts w:eastAsia="Times New Roman"/>
          <w:color w:val="000000" w:themeColor="text1"/>
        </w:rPr>
        <w:t>del</w:t>
      </w:r>
      <w:r w:rsidR="00AF2C1C" w:rsidRPr="007E4168">
        <w:rPr>
          <w:rFonts w:eastAsia="Times New Roman"/>
          <w:color w:val="000000" w:themeColor="text1"/>
        </w:rPr>
        <w:t xml:space="preserve"> corso di studi di Scienze </w:t>
      </w:r>
      <w:r w:rsidR="00AF2C1C" w:rsidRPr="007E4168">
        <w:rPr>
          <w:rFonts w:eastAsia="Times New Roman"/>
        </w:rPr>
        <w:t xml:space="preserve">della Formazione Primaria dell’Università degli Studi di </w:t>
      </w:r>
      <w:r w:rsidR="007E4168" w:rsidRPr="007E4168">
        <w:rPr>
          <w:rFonts w:eastAsia="Times New Roman"/>
        </w:rPr>
        <w:t>Bergamo</w:t>
      </w:r>
      <w:r w:rsidR="00AF2C1C" w:rsidRPr="007E4168">
        <w:rPr>
          <w:rFonts w:eastAsia="Times New Roman"/>
        </w:rPr>
        <w:t>.</w:t>
      </w:r>
      <w:r w:rsidR="00AF2C1C" w:rsidRPr="006B6602">
        <w:rPr>
          <w:rFonts w:eastAsia="Times New Roman"/>
        </w:rPr>
        <w:t xml:space="preserve"> </w:t>
      </w:r>
    </w:p>
    <w:p w14:paraId="11090083" w14:textId="77777777" w:rsidR="005D09BB" w:rsidRPr="006B6602" w:rsidRDefault="005D09BB">
      <w:pPr>
        <w:spacing w:line="360" w:lineRule="auto"/>
        <w:jc w:val="both"/>
        <w:rPr>
          <w:rFonts w:eastAsia="Times New Roman"/>
        </w:rPr>
      </w:pPr>
    </w:p>
    <w:p w14:paraId="21655106" w14:textId="510AB6DC" w:rsidR="005D09BB" w:rsidRPr="0084433A" w:rsidRDefault="00D81E12">
      <w:pPr>
        <w:spacing w:line="360" w:lineRule="auto"/>
        <w:jc w:val="both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3.1.</w:t>
      </w:r>
      <w:r>
        <w:rPr>
          <w:rFonts w:eastAsia="Times New Roman"/>
          <w:b/>
          <w:bCs/>
          <w:i/>
          <w:iCs/>
        </w:rPr>
        <w:tab/>
      </w:r>
      <w:r w:rsidR="00B9097C">
        <w:rPr>
          <w:rFonts w:eastAsia="Times New Roman"/>
          <w:b/>
          <w:bCs/>
          <w:i/>
          <w:iCs/>
        </w:rPr>
        <w:t>O</w:t>
      </w:r>
      <w:r w:rsidR="00AD2888">
        <w:rPr>
          <w:rFonts w:eastAsia="Times New Roman"/>
          <w:b/>
          <w:bCs/>
          <w:i/>
          <w:iCs/>
        </w:rPr>
        <w:t>biettivo</w:t>
      </w:r>
    </w:p>
    <w:p w14:paraId="719BA15A" w14:textId="7B5E2DD1" w:rsidR="003F6B12" w:rsidRPr="005E377A" w:rsidRDefault="006F47B1">
      <w:pPr>
        <w:spacing w:line="360" w:lineRule="auto"/>
        <w:jc w:val="both"/>
        <w:rPr>
          <w:rFonts w:eastAsia="Times New Roman"/>
        </w:rPr>
      </w:pPr>
      <w:r w:rsidRPr="006B6602">
        <w:rPr>
          <w:rFonts w:eastAsia="Times New Roman"/>
        </w:rPr>
        <w:t xml:space="preserve">L’indagine </w:t>
      </w:r>
      <w:r w:rsidR="00AF2C1C" w:rsidRPr="006B6602">
        <w:rPr>
          <w:rFonts w:eastAsia="Times New Roman"/>
        </w:rPr>
        <w:t xml:space="preserve">esplorativa </w:t>
      </w:r>
      <w:r w:rsidRPr="006B6602">
        <w:rPr>
          <w:rFonts w:eastAsia="Times New Roman"/>
        </w:rPr>
        <w:t xml:space="preserve">ha </w:t>
      </w:r>
      <w:r w:rsidRPr="002C5417">
        <w:rPr>
          <w:rFonts w:eastAsia="Times New Roman"/>
          <w:color w:val="000000" w:themeColor="text1"/>
        </w:rPr>
        <w:t xml:space="preserve">voluto </w:t>
      </w:r>
      <w:r w:rsidR="00AF2C1C" w:rsidRPr="002C5417">
        <w:rPr>
          <w:rFonts w:eastAsia="Times New Roman"/>
          <w:color w:val="000000" w:themeColor="text1"/>
        </w:rPr>
        <w:t>rilevare informazioni sulle</w:t>
      </w:r>
      <w:r w:rsidR="002149B7" w:rsidRPr="002C5417">
        <w:rPr>
          <w:rFonts w:eastAsia="Times New Roman"/>
          <w:color w:val="000000" w:themeColor="text1"/>
        </w:rPr>
        <w:t xml:space="preserve"> caratteristiche delle prove di </w:t>
      </w:r>
      <w:r w:rsidR="00C05DE9" w:rsidRPr="002C5417">
        <w:rPr>
          <w:rFonts w:eastAsia="Times New Roman"/>
          <w:color w:val="000000" w:themeColor="text1"/>
        </w:rPr>
        <w:t xml:space="preserve">verifica </w:t>
      </w:r>
      <w:r w:rsidR="00084341" w:rsidRPr="002C5417">
        <w:rPr>
          <w:rFonts w:eastAsia="Times New Roman"/>
          <w:color w:val="000000" w:themeColor="text1"/>
        </w:rPr>
        <w:t>comuni</w:t>
      </w:r>
      <w:r w:rsidR="00EF77C3" w:rsidRPr="002C5417">
        <w:rPr>
          <w:rFonts w:eastAsia="Times New Roman"/>
          <w:color w:val="000000" w:themeColor="text1"/>
        </w:rPr>
        <w:t xml:space="preserve">. </w:t>
      </w:r>
      <w:r w:rsidR="00C05DE9" w:rsidRPr="002C5417">
        <w:rPr>
          <w:rFonts w:eastAsia="Times New Roman"/>
          <w:color w:val="000000" w:themeColor="text1"/>
        </w:rPr>
        <w:t xml:space="preserve">Lo scopo è stato quello di rilevare possibili </w:t>
      </w:r>
      <w:r w:rsidR="007C61DE" w:rsidRPr="002C5417">
        <w:rPr>
          <w:rFonts w:eastAsia="Times New Roman"/>
          <w:color w:val="000000" w:themeColor="text1"/>
        </w:rPr>
        <w:t xml:space="preserve">errori nella </w:t>
      </w:r>
      <w:r w:rsidR="009C7D60" w:rsidRPr="002C5417">
        <w:rPr>
          <w:rFonts w:eastAsia="Times New Roman"/>
          <w:color w:val="000000" w:themeColor="text1"/>
        </w:rPr>
        <w:t xml:space="preserve">scelta e nella </w:t>
      </w:r>
      <w:r w:rsidR="007C61DE" w:rsidRPr="002C5417">
        <w:rPr>
          <w:rFonts w:eastAsia="Times New Roman"/>
          <w:color w:val="000000" w:themeColor="text1"/>
        </w:rPr>
        <w:t xml:space="preserve">costruzione delle prove </w:t>
      </w:r>
      <w:r w:rsidR="00C05DE9" w:rsidRPr="002C5417">
        <w:rPr>
          <w:rFonts w:eastAsia="Times New Roman"/>
          <w:color w:val="000000" w:themeColor="text1"/>
        </w:rPr>
        <w:t xml:space="preserve">in riferimento alla tassonomia indicata da </w:t>
      </w:r>
      <w:r w:rsidR="007C61DE" w:rsidRPr="002C5417">
        <w:rPr>
          <w:rFonts w:eastAsia="Times New Roman"/>
          <w:color w:val="000000" w:themeColor="text1"/>
        </w:rPr>
        <w:t>Haladyna</w:t>
      </w:r>
      <w:r w:rsidR="0084433A" w:rsidRPr="002C5417">
        <w:rPr>
          <w:rFonts w:eastAsia="Times New Roman"/>
          <w:color w:val="000000" w:themeColor="text1"/>
        </w:rPr>
        <w:t>, Downing e Rodriguez (2002)</w:t>
      </w:r>
      <w:r w:rsidR="00AD2888" w:rsidRPr="002C5417">
        <w:rPr>
          <w:rFonts w:eastAsia="Times New Roman"/>
          <w:color w:val="000000" w:themeColor="text1"/>
        </w:rPr>
        <w:t xml:space="preserve">, </w:t>
      </w:r>
      <w:r w:rsidR="00C05DE9" w:rsidRPr="002C5417">
        <w:rPr>
          <w:rFonts w:eastAsia="Times New Roman"/>
          <w:color w:val="000000" w:themeColor="text1"/>
        </w:rPr>
        <w:t>a</w:t>
      </w:r>
      <w:r w:rsidR="007C61DE" w:rsidRPr="002C5417">
        <w:rPr>
          <w:rFonts w:eastAsia="Times New Roman"/>
          <w:color w:val="000000" w:themeColor="text1"/>
        </w:rPr>
        <w:t xml:space="preserve">i criteri </w:t>
      </w:r>
      <w:r w:rsidR="00C05DE9" w:rsidRPr="002C5417">
        <w:rPr>
          <w:rFonts w:eastAsia="Times New Roman"/>
          <w:color w:val="000000" w:themeColor="text1"/>
        </w:rPr>
        <w:t>suggeriti d</w:t>
      </w:r>
      <w:r w:rsidR="00AD2888" w:rsidRPr="002C5417">
        <w:rPr>
          <w:rFonts w:eastAsia="Times New Roman"/>
          <w:color w:val="000000" w:themeColor="text1"/>
        </w:rPr>
        <w:t>a</w:t>
      </w:r>
      <w:r w:rsidR="007C61DE" w:rsidRPr="002C5417">
        <w:rPr>
          <w:rFonts w:eastAsia="Times New Roman"/>
          <w:color w:val="000000" w:themeColor="text1"/>
        </w:rPr>
        <w:t xml:space="preserve"> </w:t>
      </w:r>
      <w:r w:rsidR="00BE0D95" w:rsidRPr="002C5417">
        <w:rPr>
          <w:rFonts w:eastAsia="Times New Roman"/>
          <w:color w:val="000000" w:themeColor="text1"/>
          <w:highlight w:val="white"/>
        </w:rPr>
        <w:t>Benvenuto (Benvenuto, Di Bucci Felicetti, Pozio – INDIRE, 2012</w:t>
      </w:r>
      <w:r w:rsidR="00BE0D95" w:rsidRPr="002C5417">
        <w:rPr>
          <w:rFonts w:eastAsia="Times New Roman"/>
          <w:color w:val="000000" w:themeColor="text1"/>
        </w:rPr>
        <w:t xml:space="preserve">) </w:t>
      </w:r>
      <w:r w:rsidR="00C05DE9" w:rsidRPr="002C5417">
        <w:rPr>
          <w:rFonts w:eastAsia="Times New Roman"/>
          <w:color w:val="000000" w:themeColor="text1"/>
        </w:rPr>
        <w:t xml:space="preserve">e </w:t>
      </w:r>
      <w:r w:rsidR="00B9097C" w:rsidRPr="002C5417">
        <w:rPr>
          <w:rFonts w:eastAsia="Times New Roman"/>
          <w:color w:val="000000" w:themeColor="text1"/>
        </w:rPr>
        <w:t>integrati</w:t>
      </w:r>
      <w:r w:rsidR="00C05DE9" w:rsidRPr="002C5417">
        <w:rPr>
          <w:rFonts w:eastAsia="Times New Roman"/>
          <w:color w:val="000000" w:themeColor="text1"/>
        </w:rPr>
        <w:t xml:space="preserve"> da Simsek </w:t>
      </w:r>
      <w:r w:rsidR="00C05DE9">
        <w:rPr>
          <w:rFonts w:eastAsia="Times New Roman"/>
        </w:rPr>
        <w:t>(2016).</w:t>
      </w:r>
      <w:r w:rsidR="005E377A">
        <w:rPr>
          <w:rFonts w:eastAsia="Times New Roman"/>
        </w:rPr>
        <w:t xml:space="preserve"> </w:t>
      </w:r>
      <w:r w:rsidR="007C61DE" w:rsidRPr="006B6602">
        <w:rPr>
          <w:rFonts w:eastAsia="Times New Roman"/>
        </w:rPr>
        <w:t>Sulla base di questi è stato possibile indagare</w:t>
      </w:r>
      <w:r w:rsidR="00A83558" w:rsidRPr="006B6602">
        <w:rPr>
          <w:rFonts w:eastAsia="Times New Roman"/>
        </w:rPr>
        <w:t xml:space="preserve"> </w:t>
      </w:r>
      <w:r w:rsidR="009F7A54">
        <w:rPr>
          <w:rFonts w:eastAsia="Times New Roman"/>
        </w:rPr>
        <w:t xml:space="preserve">aspetti come la </w:t>
      </w:r>
      <w:r w:rsidRPr="006B6602">
        <w:rPr>
          <w:rFonts w:eastAsia="Times New Roman"/>
        </w:rPr>
        <w:t>coerenza</w:t>
      </w:r>
      <w:r w:rsidR="002149B7" w:rsidRPr="006B6602">
        <w:rPr>
          <w:rFonts w:eastAsia="Times New Roman"/>
        </w:rPr>
        <w:t xml:space="preserve"> </w:t>
      </w:r>
      <w:r w:rsidR="00C05DE9">
        <w:rPr>
          <w:rFonts w:eastAsia="Times New Roman"/>
        </w:rPr>
        <w:t>de</w:t>
      </w:r>
      <w:r w:rsidR="009F7A54">
        <w:rPr>
          <w:rFonts w:eastAsia="Times New Roman"/>
        </w:rPr>
        <w:t xml:space="preserve">lle prove, l’ambiguità delle formulazioni nonché </w:t>
      </w:r>
      <w:r w:rsidR="00C05DE9">
        <w:rPr>
          <w:rFonts w:eastAsia="Times New Roman"/>
        </w:rPr>
        <w:t>l’</w:t>
      </w:r>
      <w:r w:rsidR="009F7A54">
        <w:rPr>
          <w:rFonts w:eastAsia="Times New Roman"/>
        </w:rPr>
        <w:t>utilità</w:t>
      </w:r>
      <w:r w:rsidR="00C05DE9">
        <w:rPr>
          <w:rFonts w:eastAsia="Times New Roman"/>
        </w:rPr>
        <w:t xml:space="preserve"> dei </w:t>
      </w:r>
      <w:r w:rsidRPr="006B6602">
        <w:rPr>
          <w:rFonts w:eastAsia="Times New Roman"/>
        </w:rPr>
        <w:t xml:space="preserve">mezzi </w:t>
      </w:r>
      <w:r w:rsidR="009F7A54">
        <w:rPr>
          <w:rFonts w:eastAsia="Times New Roman"/>
        </w:rPr>
        <w:t>grafico-</w:t>
      </w:r>
      <w:r w:rsidRPr="006B6602">
        <w:rPr>
          <w:rFonts w:eastAsia="Times New Roman"/>
        </w:rPr>
        <w:t xml:space="preserve">semiotici </w:t>
      </w:r>
      <w:r w:rsidR="009F7A54">
        <w:rPr>
          <w:rFonts w:eastAsia="Times New Roman"/>
        </w:rPr>
        <w:t>integrati nelle stesse.</w:t>
      </w:r>
      <w:r w:rsidRPr="006B6602">
        <w:rPr>
          <w:rFonts w:eastAsia="Times New Roman"/>
        </w:rPr>
        <w:t xml:space="preserve"> </w:t>
      </w:r>
    </w:p>
    <w:p w14:paraId="7A89F805" w14:textId="11E5F3E2" w:rsidR="003F6B12" w:rsidRPr="00FD0B94" w:rsidRDefault="00D81E12" w:rsidP="00EF5359">
      <w:pPr>
        <w:pStyle w:val="Titolo3"/>
        <w:numPr>
          <w:ilvl w:val="0"/>
          <w:numId w:val="0"/>
        </w:numPr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3.2.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D288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F47B1" w:rsidRPr="00FD0B94">
        <w:rPr>
          <w:rFonts w:ascii="Times New Roman" w:hAnsi="Times New Roman" w:cs="Times New Roman"/>
          <w:i/>
          <w:iCs/>
          <w:sz w:val="24"/>
          <w:szCs w:val="24"/>
        </w:rPr>
        <w:t>ontesto</w:t>
      </w:r>
    </w:p>
    <w:p w14:paraId="1567F903" w14:textId="3DEBC682" w:rsidR="003F6B12" w:rsidRPr="006B6602" w:rsidRDefault="00AF2C1C" w:rsidP="00B9097C">
      <w:pPr>
        <w:spacing w:line="360" w:lineRule="auto"/>
        <w:jc w:val="both"/>
        <w:rPr>
          <w:rFonts w:eastAsia="Times New Roman"/>
        </w:rPr>
      </w:pPr>
      <w:r w:rsidRPr="006B6602">
        <w:rPr>
          <w:rFonts w:eastAsia="Times New Roman"/>
        </w:rPr>
        <w:t xml:space="preserve">L’indagine è stata realizzata nel periodo </w:t>
      </w:r>
      <w:r w:rsidR="005E377A">
        <w:rPr>
          <w:rFonts w:eastAsia="Times New Roman"/>
        </w:rPr>
        <w:t>ottobre-</w:t>
      </w:r>
      <w:r w:rsidRPr="006B6602">
        <w:rPr>
          <w:rFonts w:eastAsia="Times New Roman"/>
        </w:rPr>
        <w:t>marzo</w:t>
      </w:r>
      <w:r w:rsidR="003B56A7" w:rsidRPr="006B6602">
        <w:rPr>
          <w:rFonts w:eastAsia="Times New Roman"/>
        </w:rPr>
        <w:t xml:space="preserve"> dell’anno scolastico 2021/2022</w:t>
      </w:r>
      <w:r w:rsidRPr="006B6602">
        <w:rPr>
          <w:rFonts w:eastAsia="Times New Roman"/>
        </w:rPr>
        <w:t xml:space="preserve"> nella scuola primaria di Casargo, plesso dell’Is</w:t>
      </w:r>
      <w:r w:rsidR="00677132">
        <w:rPr>
          <w:rFonts w:eastAsia="Times New Roman"/>
        </w:rPr>
        <w:t>tituto comprensivo di Premana in provincia di Lecco</w:t>
      </w:r>
      <w:r w:rsidR="003B56A7" w:rsidRPr="006B6602">
        <w:rPr>
          <w:rFonts w:eastAsia="Times New Roman"/>
        </w:rPr>
        <w:t>.</w:t>
      </w:r>
      <w:r w:rsidR="005E377A">
        <w:rPr>
          <w:rFonts w:eastAsia="Times New Roman"/>
        </w:rPr>
        <w:t xml:space="preserve"> </w:t>
      </w:r>
      <w:r w:rsidR="006F47B1" w:rsidRPr="006B6602">
        <w:rPr>
          <w:rFonts w:eastAsia="Times New Roman"/>
        </w:rPr>
        <w:t xml:space="preserve">L’istituto </w:t>
      </w:r>
      <w:r w:rsidR="005E377A">
        <w:rPr>
          <w:rFonts w:eastAsia="Times New Roman"/>
        </w:rPr>
        <w:t>accoglie</w:t>
      </w:r>
      <w:r w:rsidR="006F47B1" w:rsidRPr="006B6602">
        <w:rPr>
          <w:rFonts w:eastAsia="Times New Roman"/>
        </w:rPr>
        <w:t xml:space="preserve"> </w:t>
      </w:r>
      <w:r w:rsidR="005E377A" w:rsidRPr="006B6602">
        <w:rPr>
          <w:rFonts w:eastAsia="Times New Roman"/>
        </w:rPr>
        <w:t xml:space="preserve">un totale di 282 </w:t>
      </w:r>
      <w:r w:rsidR="005E377A">
        <w:rPr>
          <w:rFonts w:eastAsia="Times New Roman"/>
        </w:rPr>
        <w:t xml:space="preserve">alunni provenienti dai piccoli paesi </w:t>
      </w:r>
      <w:r w:rsidR="006F47B1" w:rsidRPr="006B6602">
        <w:rPr>
          <w:rFonts w:eastAsia="Times New Roman"/>
        </w:rPr>
        <w:t xml:space="preserve">di montagna </w:t>
      </w:r>
      <w:r w:rsidR="005E377A">
        <w:rPr>
          <w:rFonts w:eastAsia="Times New Roman"/>
        </w:rPr>
        <w:t xml:space="preserve">limitrofi. </w:t>
      </w:r>
      <w:r w:rsidR="00B9097C">
        <w:rPr>
          <w:rFonts w:eastAsia="Times New Roman"/>
        </w:rPr>
        <w:t xml:space="preserve">Il corpo docente dell’istituto ha un’età media di 50 anni e si caratterizza, soprattutto alla scuola primaria, per continuità di rapporto – </w:t>
      </w:r>
      <w:r w:rsidR="00B9097C" w:rsidRPr="006B6602">
        <w:rPr>
          <w:rFonts w:eastAsia="Times New Roman"/>
        </w:rPr>
        <w:t>il 40% è</w:t>
      </w:r>
      <w:r w:rsidR="00B9097C">
        <w:rPr>
          <w:rFonts w:eastAsia="Times New Roman"/>
        </w:rPr>
        <w:t xml:space="preserve"> assunto a tempo indeterminato, i docenti a tempo determinato </w:t>
      </w:r>
      <w:r w:rsidR="00B9097C" w:rsidRPr="006B6602">
        <w:rPr>
          <w:rFonts w:eastAsia="Times New Roman"/>
        </w:rPr>
        <w:t xml:space="preserve">vengono spesso riconfermati. </w:t>
      </w:r>
      <w:r w:rsidR="005E377A">
        <w:rPr>
          <w:rFonts w:eastAsia="Times New Roman"/>
        </w:rPr>
        <w:t xml:space="preserve">Il territorio si caratterizza per </w:t>
      </w:r>
      <w:r w:rsidR="006F47B1" w:rsidRPr="006B6602">
        <w:rPr>
          <w:rFonts w:eastAsia="Times New Roman"/>
        </w:rPr>
        <w:t>un certo isolamento risp</w:t>
      </w:r>
      <w:r w:rsidR="005E377A">
        <w:rPr>
          <w:rFonts w:eastAsia="Times New Roman"/>
        </w:rPr>
        <w:t xml:space="preserve">etto al capoluogo di provincia e dalla presenza ridotta di alunni stranieri. L’istituto scolastico gode della </w:t>
      </w:r>
      <w:r w:rsidR="006F47B1" w:rsidRPr="006B6602">
        <w:rPr>
          <w:rFonts w:eastAsia="Times New Roman"/>
        </w:rPr>
        <w:t>col</w:t>
      </w:r>
      <w:r w:rsidR="00BE0D95">
        <w:rPr>
          <w:rFonts w:eastAsia="Times New Roman"/>
        </w:rPr>
        <w:t xml:space="preserve">laborazione con gli enti locali, </w:t>
      </w:r>
      <w:r w:rsidR="006F47B1" w:rsidRPr="006B6602">
        <w:rPr>
          <w:rFonts w:eastAsia="Times New Roman"/>
        </w:rPr>
        <w:t>che offro</w:t>
      </w:r>
      <w:r w:rsidR="00FE7FB4" w:rsidRPr="006B6602">
        <w:rPr>
          <w:rFonts w:eastAsia="Times New Roman"/>
        </w:rPr>
        <w:t>no</w:t>
      </w:r>
      <w:r w:rsidR="006F47B1" w:rsidRPr="006B6602">
        <w:rPr>
          <w:rFonts w:eastAsia="Times New Roman"/>
        </w:rPr>
        <w:t xml:space="preserve"> all’istituto contributi finanziari e i</w:t>
      </w:r>
      <w:r w:rsidR="005E377A">
        <w:rPr>
          <w:rFonts w:eastAsia="Times New Roman"/>
        </w:rPr>
        <w:t>n</w:t>
      </w:r>
      <w:r w:rsidR="00BE0D95">
        <w:rPr>
          <w:rFonts w:eastAsia="Times New Roman"/>
        </w:rPr>
        <w:t xml:space="preserve">iziative </w:t>
      </w:r>
      <w:r w:rsidR="00BE0D95" w:rsidRPr="00C740E7">
        <w:rPr>
          <w:rFonts w:eastAsia="Times New Roman"/>
          <w:color w:val="000000" w:themeColor="text1"/>
        </w:rPr>
        <w:t>legate al territorio, e con le famiglie</w:t>
      </w:r>
      <w:r w:rsidR="00C740E7" w:rsidRPr="00C740E7">
        <w:rPr>
          <w:rFonts w:eastAsia="Times New Roman"/>
          <w:color w:val="000000" w:themeColor="text1"/>
        </w:rPr>
        <w:t xml:space="preserve"> con ESCS</w:t>
      </w:r>
      <w:r w:rsidR="00C740E7" w:rsidRPr="00C740E7">
        <w:rPr>
          <w:rFonts w:eastAsia="Times New Roman"/>
          <w:color w:val="000000" w:themeColor="text1"/>
          <w:vertAlign w:val="superscript"/>
        </w:rPr>
        <w:footnoteReference w:id="5"/>
      </w:r>
      <w:r w:rsidR="00C740E7" w:rsidRPr="00C740E7">
        <w:rPr>
          <w:rFonts w:eastAsia="Times New Roman"/>
          <w:color w:val="000000" w:themeColor="text1"/>
        </w:rPr>
        <w:t xml:space="preserve"> mediamente basso tuttavia </w:t>
      </w:r>
      <w:r w:rsidR="005E377A" w:rsidRPr="00C740E7">
        <w:rPr>
          <w:rFonts w:eastAsia="Times New Roman"/>
          <w:color w:val="000000" w:themeColor="text1"/>
        </w:rPr>
        <w:t xml:space="preserve">attente </w:t>
      </w:r>
      <w:r w:rsidR="002E1993" w:rsidRPr="00C740E7">
        <w:rPr>
          <w:rFonts w:eastAsia="Times New Roman"/>
          <w:color w:val="000000" w:themeColor="text1"/>
        </w:rPr>
        <w:t xml:space="preserve">alla relazione con le </w:t>
      </w:r>
      <w:r w:rsidR="00FE7FB4" w:rsidRPr="00C740E7">
        <w:rPr>
          <w:rFonts w:eastAsia="Times New Roman"/>
          <w:color w:val="000000" w:themeColor="text1"/>
        </w:rPr>
        <w:t>docenti</w:t>
      </w:r>
      <w:r w:rsidR="00BE0D95" w:rsidRPr="00C740E7">
        <w:rPr>
          <w:rFonts w:eastAsia="Times New Roman"/>
          <w:color w:val="000000" w:themeColor="text1"/>
        </w:rPr>
        <w:t>.</w:t>
      </w:r>
    </w:p>
    <w:p w14:paraId="3D6EDF8B" w14:textId="532BD067" w:rsidR="003F6B12" w:rsidRPr="00FD0B94" w:rsidRDefault="00D81E12" w:rsidP="003B56A7">
      <w:pPr>
        <w:pStyle w:val="Titolo3"/>
        <w:numPr>
          <w:ilvl w:val="0"/>
          <w:numId w:val="0"/>
        </w:numPr>
        <w:rPr>
          <w:rFonts w:ascii="Times New Roman" w:hAnsi="Times New Roman" w:cs="Times New Roman"/>
          <w:i/>
          <w:iCs/>
          <w:strike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732F12" w:rsidRPr="00FD0B94">
        <w:rPr>
          <w:rFonts w:ascii="Times New Roman" w:hAnsi="Times New Roman" w:cs="Times New Roman"/>
          <w:i/>
          <w:iCs/>
          <w:sz w:val="24"/>
          <w:szCs w:val="24"/>
        </w:rPr>
        <w:t>.3.</w:t>
      </w:r>
      <w:r w:rsidR="003B56A7" w:rsidRPr="00FD0B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D288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3B35BB" w:rsidRPr="00FD0B94">
        <w:rPr>
          <w:rFonts w:ascii="Times New Roman" w:hAnsi="Times New Roman" w:cs="Times New Roman"/>
          <w:i/>
          <w:iCs/>
          <w:sz w:val="24"/>
          <w:szCs w:val="24"/>
        </w:rPr>
        <w:t>ggetto</w:t>
      </w:r>
    </w:p>
    <w:p w14:paraId="5B5576C9" w14:textId="10F2535E" w:rsidR="00AD2888" w:rsidRDefault="00AD2888" w:rsidP="00FA7142">
      <w:pPr>
        <w:widowControl w:val="0"/>
        <w:autoSpaceDE w:val="0"/>
        <w:autoSpaceDN w:val="0"/>
        <w:adjustRightInd w:val="0"/>
        <w:spacing w:after="240" w:line="44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Le prove di verifica comuni sono state </w:t>
      </w:r>
      <w:r w:rsidR="0011179F">
        <w:rPr>
          <w:rFonts w:eastAsia="Times New Roman"/>
        </w:rPr>
        <w:t>assunte come ‘u</w:t>
      </w:r>
      <w:r w:rsidRPr="006B6602">
        <w:rPr>
          <w:rFonts w:eastAsia="Times New Roman"/>
        </w:rPr>
        <w:t>nità di analisi</w:t>
      </w:r>
      <w:r w:rsidR="00677132">
        <w:rPr>
          <w:rFonts w:eastAsia="Times New Roman"/>
        </w:rPr>
        <w:t>’ (Corbetta, 2003</w:t>
      </w:r>
      <w:r>
        <w:rPr>
          <w:rFonts w:eastAsia="Times New Roman"/>
        </w:rPr>
        <w:t>)</w:t>
      </w:r>
      <w:r w:rsidRPr="006B6602">
        <w:rPr>
          <w:rFonts w:eastAsia="Times New Roman"/>
        </w:rPr>
        <w:t xml:space="preserve"> </w:t>
      </w:r>
      <w:r w:rsidR="0011179F">
        <w:rPr>
          <w:rFonts w:eastAsia="Times New Roman"/>
        </w:rPr>
        <w:t xml:space="preserve">dell’indagine, </w:t>
      </w:r>
      <w:r w:rsidRPr="006B6602">
        <w:rPr>
          <w:rFonts w:eastAsia="Times New Roman"/>
        </w:rPr>
        <w:t xml:space="preserve">ossia </w:t>
      </w:r>
      <w:r w:rsidR="0011179F">
        <w:rPr>
          <w:rFonts w:eastAsia="Times New Roman"/>
        </w:rPr>
        <w:t>‘</w:t>
      </w:r>
      <w:r w:rsidRPr="006B6602">
        <w:rPr>
          <w:rFonts w:eastAsia="Times New Roman"/>
        </w:rPr>
        <w:t>oggetto sociale</w:t>
      </w:r>
      <w:r w:rsidR="0011179F">
        <w:rPr>
          <w:rFonts w:eastAsia="Times New Roman"/>
        </w:rPr>
        <w:t>’</w:t>
      </w:r>
      <w:r w:rsidRPr="006B6602">
        <w:rPr>
          <w:rFonts w:eastAsia="Times New Roman"/>
        </w:rPr>
        <w:t xml:space="preserve"> al quale appartengono le proprietà </w:t>
      </w:r>
      <w:r w:rsidR="0011179F">
        <w:rPr>
          <w:rFonts w:eastAsia="Times New Roman"/>
        </w:rPr>
        <w:t>indicate dalla</w:t>
      </w:r>
      <w:r w:rsidRPr="006B6602">
        <w:rPr>
          <w:rFonts w:eastAsia="Times New Roman"/>
        </w:rPr>
        <w:t xml:space="preserve"> ricerca empirica</w:t>
      </w:r>
      <w:r w:rsidR="0011179F">
        <w:rPr>
          <w:rFonts w:eastAsia="Times New Roman"/>
        </w:rPr>
        <w:t>.</w:t>
      </w:r>
      <w:r w:rsidR="0011179F" w:rsidRPr="0011179F">
        <w:t xml:space="preserve"> </w:t>
      </w:r>
      <w:r w:rsidR="0011179F">
        <w:t>Le prove di verifica intermedie e finali comuni</w:t>
      </w:r>
      <w:r w:rsidR="0011179F" w:rsidRPr="007148FB">
        <w:t xml:space="preserve"> </w:t>
      </w:r>
      <w:r w:rsidR="0011179F">
        <w:t xml:space="preserve">per classi parallele rientrano tra le pratiche didattiche in uso, come </w:t>
      </w:r>
      <w:r w:rsidR="0011179F">
        <w:lastRenderedPageBreak/>
        <w:t>espressione di libertà di insegnamento e decise collegialmente in sede di programmazione annuale</w:t>
      </w:r>
      <w:r w:rsidR="0011179F">
        <w:rPr>
          <w:rStyle w:val="Rimandonotaapidipagina"/>
          <w:rFonts w:eastAsia="Times New Roman"/>
        </w:rPr>
        <w:footnoteReference w:id="6"/>
      </w:r>
      <w:r w:rsidR="0011179F">
        <w:t>. queste valutano i</w:t>
      </w:r>
      <w:r w:rsidR="0011179F" w:rsidRPr="007148FB">
        <w:t xml:space="preserve"> livelli di apprendimento </w:t>
      </w:r>
      <w:r w:rsidR="0011179F">
        <w:t xml:space="preserve">di </w:t>
      </w:r>
      <w:r w:rsidR="0011179F" w:rsidRPr="007148FB">
        <w:t xml:space="preserve">studenti e studentesse </w:t>
      </w:r>
      <w:r w:rsidR="0011179F">
        <w:t>in specifiche aree e contribuiscono,</w:t>
      </w:r>
      <w:r w:rsidR="0011179F" w:rsidRPr="0011179F">
        <w:rPr>
          <w:rStyle w:val="Rimandonotaapidipagina"/>
          <w:rFonts w:eastAsia="Times New Roman"/>
        </w:rPr>
        <w:t xml:space="preserve"> </w:t>
      </w:r>
      <w:r w:rsidR="0011179F">
        <w:t>con l’osservazione del comportamento e altre evidenze, a</w:t>
      </w:r>
      <w:r w:rsidR="0011179F" w:rsidRPr="007148FB">
        <w:t>l più ampio processo di valutazione degli obiettivi di apprendimento e delle competenze</w:t>
      </w:r>
      <w:r w:rsidR="0011179F">
        <w:t xml:space="preserve"> del curricolo. L’obiettivo delle prove comuni è di monitorare gli esiti delle attività didattiche progettate </w:t>
      </w:r>
      <w:r w:rsidR="0011179F" w:rsidRPr="002C5417">
        <w:rPr>
          <w:color w:val="000000" w:themeColor="text1"/>
        </w:rPr>
        <w:t>al fine di migliorare i processi stessi di insegnamento/apprendimento (Bertagna, 2007</w:t>
      </w:r>
      <w:r w:rsidR="00BE0D95" w:rsidRPr="002C5417">
        <w:rPr>
          <w:color w:val="000000" w:themeColor="text1"/>
        </w:rPr>
        <w:t xml:space="preserve">; cfr. anche Perla, </w:t>
      </w:r>
      <w:r w:rsidR="00EB5B4D" w:rsidRPr="002C5417">
        <w:rPr>
          <w:color w:val="000000" w:themeColor="text1"/>
        </w:rPr>
        <w:t>2019</w:t>
      </w:r>
      <w:r w:rsidR="0011179F" w:rsidRPr="002C5417">
        <w:rPr>
          <w:color w:val="000000" w:themeColor="text1"/>
        </w:rPr>
        <w:t xml:space="preserve">), per questo </w:t>
      </w:r>
      <w:r w:rsidR="0011179F">
        <w:t>valgono come azione in un quadro di autovalutazione dell’intero istituto scolastico (dpr n. 80 del 28 marzo 2013).</w:t>
      </w:r>
    </w:p>
    <w:p w14:paraId="531A0877" w14:textId="1D6A96DD" w:rsidR="004B4E90" w:rsidRPr="00FA7142" w:rsidRDefault="0011179F" w:rsidP="00FA7142">
      <w:pPr>
        <w:widowControl w:val="0"/>
        <w:autoSpaceDE w:val="0"/>
        <w:autoSpaceDN w:val="0"/>
        <w:adjustRightInd w:val="0"/>
        <w:spacing w:after="240" w:line="440" w:lineRule="atLeast"/>
        <w:jc w:val="both"/>
        <w:rPr>
          <w:rFonts w:eastAsia="Times New Roman"/>
          <w:color w:val="000000" w:themeColor="text1"/>
          <w:highlight w:val="white"/>
        </w:rPr>
      </w:pPr>
      <w:r>
        <w:rPr>
          <w:rFonts w:eastAsia="Times New Roman"/>
        </w:rPr>
        <w:t>Lo studio</w:t>
      </w:r>
      <w:r w:rsidR="00081846" w:rsidRPr="006B6602">
        <w:rPr>
          <w:rFonts w:eastAsia="Times New Roman"/>
        </w:rPr>
        <w:t xml:space="preserve"> è</w:t>
      </w:r>
      <w:r>
        <w:rPr>
          <w:rFonts w:eastAsia="Times New Roman"/>
        </w:rPr>
        <w:t xml:space="preserve"> stato condotto</w:t>
      </w:r>
      <w:r w:rsidR="006F47B1" w:rsidRPr="006B6602">
        <w:rPr>
          <w:rFonts w:eastAsia="Times New Roman"/>
        </w:rPr>
        <w:t xml:space="preserve"> </w:t>
      </w:r>
      <w:r w:rsidR="00A6117E">
        <w:rPr>
          <w:rFonts w:eastAsia="Times New Roman"/>
        </w:rPr>
        <w:t xml:space="preserve">su 15 </w:t>
      </w:r>
      <w:r w:rsidR="00732F12" w:rsidRPr="006B6602">
        <w:rPr>
          <w:rFonts w:eastAsia="Times New Roman"/>
        </w:rPr>
        <w:t xml:space="preserve">prove di </w:t>
      </w:r>
      <w:r w:rsidR="00394709">
        <w:rPr>
          <w:rFonts w:eastAsia="Times New Roman"/>
        </w:rPr>
        <w:t>verifica</w:t>
      </w:r>
      <w:r w:rsidR="00732F12" w:rsidRPr="006B6602">
        <w:rPr>
          <w:rFonts w:eastAsia="Times New Roman"/>
        </w:rPr>
        <w:t xml:space="preserve"> </w:t>
      </w:r>
      <w:r w:rsidR="00A6117E">
        <w:rPr>
          <w:rFonts w:eastAsia="Times New Roman"/>
        </w:rPr>
        <w:t xml:space="preserve">comuni </w:t>
      </w:r>
      <w:r w:rsidR="00732F12" w:rsidRPr="006B6602">
        <w:rPr>
          <w:rFonts w:eastAsia="Times New Roman"/>
        </w:rPr>
        <w:t xml:space="preserve">di ambito geometrico </w:t>
      </w:r>
      <w:r w:rsidR="007148FB">
        <w:rPr>
          <w:rFonts w:eastAsia="Times New Roman"/>
        </w:rPr>
        <w:t>adottate nella scuola primaria dell’istituto coinvolto negli anni scolastici 2020-22</w:t>
      </w:r>
      <w:r w:rsidR="00FA7142">
        <w:rPr>
          <w:rFonts w:eastAsia="Times New Roman"/>
        </w:rPr>
        <w:t xml:space="preserve">. </w:t>
      </w:r>
      <w:r w:rsidR="006F5247">
        <w:rPr>
          <w:rFonts w:eastAsia="Times New Roman"/>
        </w:rPr>
        <w:t>L</w:t>
      </w:r>
      <w:r w:rsidR="006F5247" w:rsidRPr="006B6602">
        <w:rPr>
          <w:rFonts w:eastAsia="Times New Roman"/>
        </w:rPr>
        <w:t xml:space="preserve">e </w:t>
      </w:r>
      <w:r w:rsidR="006F5247">
        <w:rPr>
          <w:rFonts w:eastAsia="Times New Roman"/>
        </w:rPr>
        <w:t xml:space="preserve">15 </w:t>
      </w:r>
      <w:r w:rsidR="006F5247" w:rsidRPr="006B6602">
        <w:rPr>
          <w:rFonts w:eastAsia="Times New Roman"/>
        </w:rPr>
        <w:t xml:space="preserve">prove di valutazione </w:t>
      </w:r>
      <w:r w:rsidR="006F5247">
        <w:rPr>
          <w:rFonts w:eastAsia="Times New Roman"/>
        </w:rPr>
        <w:t>analizzate</w:t>
      </w:r>
      <w:r w:rsidR="006F5247" w:rsidRPr="006B6602">
        <w:rPr>
          <w:rFonts w:eastAsia="Times New Roman"/>
        </w:rPr>
        <w:t xml:space="preserve"> rientrano nella categoria delle </w:t>
      </w:r>
      <w:r w:rsidR="006F5247">
        <w:rPr>
          <w:rFonts w:eastAsia="Times New Roman"/>
        </w:rPr>
        <w:t xml:space="preserve">prove strutturate di conoscenza e </w:t>
      </w:r>
      <w:r w:rsidR="00AD2888">
        <w:rPr>
          <w:rFonts w:eastAsia="Times New Roman"/>
        </w:rPr>
        <w:t>presentano</w:t>
      </w:r>
      <w:r w:rsidR="00C1574D">
        <w:rPr>
          <w:rFonts w:eastAsia="Times New Roman"/>
        </w:rPr>
        <w:t xml:space="preserve"> diverse</w:t>
      </w:r>
      <w:r w:rsidR="006F47B1" w:rsidRPr="006B6602">
        <w:rPr>
          <w:rFonts w:eastAsia="Times New Roman"/>
        </w:rPr>
        <w:t xml:space="preserve"> </w:t>
      </w:r>
      <w:r w:rsidR="009B3F8B">
        <w:rPr>
          <w:rFonts w:eastAsia="Times New Roman"/>
        </w:rPr>
        <w:t>topologie</w:t>
      </w:r>
      <w:r w:rsidR="00CF235E">
        <w:rPr>
          <w:rFonts w:eastAsia="Times New Roman"/>
        </w:rPr>
        <w:t xml:space="preserve"> e formati</w:t>
      </w:r>
      <w:r w:rsidR="00AA7764" w:rsidRPr="00AA7764">
        <w:rPr>
          <w:rFonts w:eastAsia="Times New Roman"/>
          <w:color w:val="000000"/>
        </w:rPr>
        <w:t xml:space="preserve"> </w:t>
      </w:r>
      <w:r w:rsidR="00AA7764" w:rsidRPr="006F5247">
        <w:rPr>
          <w:rFonts w:eastAsia="Times New Roman"/>
          <w:color w:val="000000"/>
        </w:rPr>
        <w:t>per le classi I e II</w:t>
      </w:r>
      <w:r w:rsidR="00D0538B">
        <w:rPr>
          <w:rFonts w:eastAsia="Times New Roman"/>
        </w:rPr>
        <w:t>:</w:t>
      </w:r>
      <w:r w:rsidR="00D0538B" w:rsidRPr="00D0538B">
        <w:rPr>
          <w:rFonts w:eastAsia="Times New Roman"/>
          <w:color w:val="000000"/>
        </w:rPr>
        <w:t xml:space="preserve"> </w:t>
      </w:r>
      <w:r w:rsidR="00D0538B" w:rsidRPr="006F5247">
        <w:rPr>
          <w:rFonts w:eastAsia="Times New Roman"/>
          <w:color w:val="000000"/>
        </w:rPr>
        <w:t xml:space="preserve">carta-e-matita realizzate </w:t>
      </w:r>
      <w:r w:rsidR="009B3F8B">
        <w:rPr>
          <w:rFonts w:eastAsia="Times New Roman"/>
          <w:color w:val="000000"/>
        </w:rPr>
        <w:t>(tra le quali le prove comuni adottate dal collegio dall’a.s. 2018-19</w:t>
      </w:r>
      <w:r w:rsidR="009B3F8B" w:rsidRPr="009B3F8B">
        <w:rPr>
          <w:rFonts w:eastAsia="Times New Roman"/>
          <w:color w:val="000000"/>
        </w:rPr>
        <w:t>)</w:t>
      </w:r>
      <w:r w:rsidR="00D0538B" w:rsidRPr="009B3F8B">
        <w:rPr>
          <w:rFonts w:eastAsia="Times New Roman"/>
          <w:color w:val="000000"/>
        </w:rPr>
        <w:t>, estratte</w:t>
      </w:r>
      <w:r w:rsidR="00A6117E" w:rsidRPr="009B3F8B">
        <w:rPr>
          <w:rFonts w:eastAsia="Times New Roman"/>
          <w:color w:val="000000"/>
        </w:rPr>
        <w:t xml:space="preserve"> da un libro </w:t>
      </w:r>
      <w:r w:rsidR="00D0538B" w:rsidRPr="009B3F8B">
        <w:rPr>
          <w:rFonts w:eastAsia="Times New Roman"/>
          <w:color w:val="000000"/>
        </w:rPr>
        <w:t>di test</w:t>
      </w:r>
      <w:r w:rsidR="00D0538B" w:rsidRPr="00AA7764">
        <w:rPr>
          <w:rFonts w:eastAsia="Times New Roman"/>
          <w:color w:val="000000"/>
        </w:rPr>
        <w:t>o</w:t>
      </w:r>
      <w:r w:rsidR="00A6117E" w:rsidRPr="00AA7764">
        <w:rPr>
          <w:rStyle w:val="Rimandonotaapidipagina"/>
          <w:rFonts w:eastAsia="Times New Roman"/>
          <w:color w:val="000000"/>
        </w:rPr>
        <w:footnoteReference w:id="7"/>
      </w:r>
      <w:r w:rsidR="00A6117E" w:rsidRPr="00AA7764">
        <w:rPr>
          <w:rFonts w:eastAsia="Times New Roman"/>
          <w:color w:val="000000"/>
        </w:rPr>
        <w:t>,</w:t>
      </w:r>
      <w:r w:rsidR="00A6117E" w:rsidRPr="009B3F8B">
        <w:rPr>
          <w:rFonts w:eastAsia="Times New Roman"/>
          <w:color w:val="000000" w:themeColor="text1"/>
        </w:rPr>
        <w:t xml:space="preserve"> </w:t>
      </w:r>
      <w:r w:rsidR="009B3F8B" w:rsidRPr="009B3F8B">
        <w:rPr>
          <w:rFonts w:eastAsia="Times New Roman"/>
          <w:color w:val="000000" w:themeColor="text1"/>
        </w:rPr>
        <w:t>e</w:t>
      </w:r>
      <w:r w:rsidR="00A6117E" w:rsidRPr="009B3F8B">
        <w:rPr>
          <w:rFonts w:eastAsia="Times New Roman"/>
          <w:color w:val="000000" w:themeColor="text1"/>
        </w:rPr>
        <w:t>stratte dalle prove INVALSI degli anni 2015-2019</w:t>
      </w:r>
      <w:r w:rsidR="006F5247" w:rsidRPr="009B3F8B">
        <w:rPr>
          <w:rFonts w:eastAsia="Times New Roman"/>
          <w:color w:val="000000" w:themeColor="text1"/>
        </w:rPr>
        <w:t xml:space="preserve"> - </w:t>
      </w:r>
      <w:r w:rsidR="00A6117E" w:rsidRPr="009B3F8B">
        <w:rPr>
          <w:rFonts w:eastAsia="Times New Roman"/>
          <w:color w:val="000000" w:themeColor="text1"/>
        </w:rPr>
        <w:t xml:space="preserve">cfr. </w:t>
      </w:r>
      <w:r w:rsidR="004B4E90" w:rsidRPr="009B3F8B">
        <w:rPr>
          <w:rFonts w:eastAsia="Times New Roman"/>
          <w:color w:val="000000" w:themeColor="text1"/>
        </w:rPr>
        <w:t>Tabella</w:t>
      </w:r>
      <w:r w:rsidR="00A6117E" w:rsidRPr="009B3F8B">
        <w:rPr>
          <w:rFonts w:eastAsia="Times New Roman"/>
          <w:color w:val="000000" w:themeColor="text1"/>
        </w:rPr>
        <w:t xml:space="preserve"> 1</w:t>
      </w:r>
      <w:r w:rsidR="006F5247" w:rsidRPr="009B3F8B">
        <w:rPr>
          <w:rFonts w:eastAsia="Times New Roman"/>
          <w:color w:val="000000" w:themeColor="text1"/>
        </w:rPr>
        <w:t xml:space="preserve">; prove di discriminazione </w:t>
      </w:r>
      <w:r w:rsidR="006F5247" w:rsidRPr="006B6602">
        <w:rPr>
          <w:rFonts w:eastAsia="Times New Roman"/>
        </w:rPr>
        <w:t>e riconosciment</w:t>
      </w:r>
      <w:r w:rsidR="006F5247">
        <w:rPr>
          <w:rFonts w:eastAsia="Times New Roman"/>
        </w:rPr>
        <w:t xml:space="preserve">o, scelte multiple e vero/falso – cfr. </w:t>
      </w:r>
      <w:r w:rsidR="006F5247" w:rsidRPr="006B6602">
        <w:rPr>
          <w:rFonts w:eastAsia="Times New Roman"/>
        </w:rPr>
        <w:t>Tabella 2</w:t>
      </w:r>
      <w:r w:rsidR="006F5247">
        <w:rPr>
          <w:rFonts w:eastAsia="Times New Roman"/>
        </w:rPr>
        <w:t>.</w:t>
      </w:r>
    </w:p>
    <w:tbl>
      <w:tblPr>
        <w:tblStyle w:val="Grigliatabella"/>
        <w:tblpPr w:leftFromText="141" w:rightFromText="141" w:vertAnchor="text" w:tblpXSpec="center" w:tblpY="20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B3F8B" w:rsidRPr="006B6602" w14:paraId="16BC3D7A" w14:textId="77777777" w:rsidTr="009B3F8B">
        <w:tc>
          <w:tcPr>
            <w:tcW w:w="2407" w:type="dxa"/>
            <w:vAlign w:val="center"/>
          </w:tcPr>
          <w:p w14:paraId="05A034BD" w14:textId="77777777" w:rsidR="009B3F8B" w:rsidRPr="00A9486F" w:rsidRDefault="009B3F8B" w:rsidP="004B4E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Prove carta e matita</w:t>
            </w:r>
          </w:p>
        </w:tc>
        <w:tc>
          <w:tcPr>
            <w:tcW w:w="2407" w:type="dxa"/>
            <w:vAlign w:val="center"/>
          </w:tcPr>
          <w:p w14:paraId="0ACB2C41" w14:textId="77777777" w:rsidR="009B3F8B" w:rsidRPr="00A9486F" w:rsidRDefault="009B3F8B" w:rsidP="004B4E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Libri di testo</w:t>
            </w:r>
          </w:p>
        </w:tc>
        <w:tc>
          <w:tcPr>
            <w:tcW w:w="2407" w:type="dxa"/>
            <w:vAlign w:val="center"/>
          </w:tcPr>
          <w:p w14:paraId="2F6D7F5F" w14:textId="77777777" w:rsidR="009B3F8B" w:rsidRPr="00A9486F" w:rsidRDefault="009B3F8B" w:rsidP="004B4E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INVALSI</w:t>
            </w:r>
          </w:p>
        </w:tc>
      </w:tr>
      <w:tr w:rsidR="009B3F8B" w:rsidRPr="006B6602" w14:paraId="06DF852F" w14:textId="77777777" w:rsidTr="009B3F8B">
        <w:tc>
          <w:tcPr>
            <w:tcW w:w="2407" w:type="dxa"/>
            <w:vAlign w:val="center"/>
          </w:tcPr>
          <w:p w14:paraId="4E8F1C41" w14:textId="7F203EB6" w:rsidR="009B3F8B" w:rsidRPr="00A9486F" w:rsidRDefault="009B3F8B" w:rsidP="004B4E90">
            <w:pPr>
              <w:spacing w:before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7" w:type="dxa"/>
            <w:vAlign w:val="center"/>
          </w:tcPr>
          <w:p w14:paraId="073BE584" w14:textId="77777777" w:rsidR="009B3F8B" w:rsidRPr="00A9486F" w:rsidRDefault="009B3F8B" w:rsidP="004B4E90">
            <w:pPr>
              <w:spacing w:before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9486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7" w:type="dxa"/>
            <w:vAlign w:val="center"/>
          </w:tcPr>
          <w:p w14:paraId="1FE09C79" w14:textId="77777777" w:rsidR="009B3F8B" w:rsidRPr="00A9486F" w:rsidRDefault="009B3F8B" w:rsidP="004B4E90">
            <w:pPr>
              <w:spacing w:before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9486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</w:tr>
    </w:tbl>
    <w:p w14:paraId="1147E8BF" w14:textId="77777777" w:rsidR="009B3F8B" w:rsidRDefault="009B3F8B" w:rsidP="006F524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eastAsia="Times New Roman"/>
          <w:color w:val="000000" w:themeColor="text1"/>
          <w:sz w:val="20"/>
          <w:szCs w:val="20"/>
        </w:rPr>
      </w:pPr>
    </w:p>
    <w:p w14:paraId="597634D6" w14:textId="77777777" w:rsidR="009B3F8B" w:rsidRDefault="009B3F8B" w:rsidP="009B3F8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eastAsia="Times New Roman"/>
          <w:color w:val="000000" w:themeColor="text1"/>
          <w:sz w:val="20"/>
          <w:szCs w:val="20"/>
        </w:rPr>
      </w:pPr>
    </w:p>
    <w:p w14:paraId="26D5E95C" w14:textId="77777777" w:rsidR="009B3F8B" w:rsidRDefault="009B3F8B" w:rsidP="009B3F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 w:themeColor="text1"/>
          <w:sz w:val="20"/>
          <w:szCs w:val="20"/>
        </w:rPr>
      </w:pPr>
    </w:p>
    <w:p w14:paraId="04270F5E" w14:textId="7D0B6F07" w:rsidR="004B4E90" w:rsidRPr="006F5247" w:rsidRDefault="004B4E90" w:rsidP="009B3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 w:themeColor="text1"/>
          <w:sz w:val="20"/>
          <w:szCs w:val="20"/>
        </w:rPr>
      </w:pPr>
      <w:r w:rsidRPr="008D08B7">
        <w:rPr>
          <w:rFonts w:eastAsia="Times New Roman"/>
          <w:color w:val="000000" w:themeColor="text1"/>
          <w:sz w:val="20"/>
          <w:szCs w:val="20"/>
        </w:rPr>
        <w:t>Tabella 1 - Tipologie delle prove analizzate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B4E90" w14:paraId="242694C1" w14:textId="77777777" w:rsidTr="004B4E90">
        <w:tc>
          <w:tcPr>
            <w:tcW w:w="3209" w:type="dxa"/>
            <w:vAlign w:val="center"/>
          </w:tcPr>
          <w:p w14:paraId="76F1717E" w14:textId="5379529E" w:rsidR="004B4E90" w:rsidRPr="00A9486F" w:rsidRDefault="004B4E90" w:rsidP="006F5247">
            <w:pPr>
              <w:spacing w:before="2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</w:t>
            </w:r>
            <w:r w:rsidR="006F5247"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iscriminazione /</w:t>
            </w: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riconoscimento</w:t>
            </w:r>
          </w:p>
        </w:tc>
        <w:tc>
          <w:tcPr>
            <w:tcW w:w="3209" w:type="dxa"/>
            <w:vAlign w:val="center"/>
          </w:tcPr>
          <w:p w14:paraId="279BDA86" w14:textId="3B78EB05" w:rsidR="004B4E90" w:rsidRPr="00A9486F" w:rsidRDefault="004B4E90" w:rsidP="006F5247">
            <w:pPr>
              <w:spacing w:before="2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Vero/Falso</w:t>
            </w:r>
          </w:p>
        </w:tc>
        <w:tc>
          <w:tcPr>
            <w:tcW w:w="3210" w:type="dxa"/>
            <w:vAlign w:val="center"/>
          </w:tcPr>
          <w:p w14:paraId="211B01F3" w14:textId="28DD0013" w:rsidR="004B4E90" w:rsidRPr="00A9486F" w:rsidRDefault="004B4E90" w:rsidP="006F5247">
            <w:pPr>
              <w:spacing w:before="2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9486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Risposta multipla</w:t>
            </w:r>
          </w:p>
        </w:tc>
      </w:tr>
      <w:tr w:rsidR="004B4E90" w14:paraId="6BC61A61" w14:textId="77777777" w:rsidTr="004B4E90">
        <w:tc>
          <w:tcPr>
            <w:tcW w:w="3209" w:type="dxa"/>
            <w:vAlign w:val="center"/>
          </w:tcPr>
          <w:p w14:paraId="772582E8" w14:textId="4158A9E6" w:rsidR="004B4E90" w:rsidRPr="00A9486F" w:rsidRDefault="004B4E90" w:rsidP="006F5247">
            <w:pPr>
              <w:spacing w:before="2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9486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09" w:type="dxa"/>
            <w:vAlign w:val="center"/>
          </w:tcPr>
          <w:p w14:paraId="751BF377" w14:textId="017AC3F6" w:rsidR="004B4E90" w:rsidRPr="00A9486F" w:rsidRDefault="004B4E90" w:rsidP="006F5247">
            <w:pPr>
              <w:spacing w:before="2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9486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0" w:type="dxa"/>
            <w:vAlign w:val="center"/>
          </w:tcPr>
          <w:p w14:paraId="4C581FBB" w14:textId="5DBC5AF4" w:rsidR="004B4E90" w:rsidRPr="00A9486F" w:rsidRDefault="004B4E90" w:rsidP="006F5247">
            <w:pPr>
              <w:spacing w:before="2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9486F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</w:tbl>
    <w:p w14:paraId="7CB4A06F" w14:textId="2F5EDA7C" w:rsidR="00A6117E" w:rsidRPr="006F5247" w:rsidRDefault="004B4E90" w:rsidP="006F5247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4B4E90">
        <w:rPr>
          <w:rFonts w:eastAsia="Times New Roman"/>
          <w:sz w:val="20"/>
          <w:szCs w:val="20"/>
        </w:rPr>
        <w:t>Tabella 2 – Tipi di formati delle prove analizzate</w:t>
      </w:r>
    </w:p>
    <w:p w14:paraId="4C7FF30A" w14:textId="7EFE1591" w:rsidR="00BC125A" w:rsidRPr="00FD0B94" w:rsidRDefault="00D81E12" w:rsidP="00603683">
      <w:pPr>
        <w:pStyle w:val="Titolo3"/>
        <w:numPr>
          <w:ilvl w:val="0"/>
          <w:numId w:val="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603683" w:rsidRPr="00FD0B94">
        <w:rPr>
          <w:rFonts w:ascii="Times New Roman" w:hAnsi="Times New Roman" w:cs="Times New Roman"/>
          <w:i/>
          <w:iCs/>
          <w:sz w:val="24"/>
          <w:szCs w:val="24"/>
        </w:rPr>
        <w:t>.4.</w:t>
      </w:r>
      <w:r w:rsidR="00603683" w:rsidRPr="00FD0B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D2888">
        <w:rPr>
          <w:rFonts w:ascii="Times New Roman" w:hAnsi="Times New Roman" w:cs="Times New Roman"/>
          <w:i/>
          <w:iCs/>
          <w:sz w:val="24"/>
          <w:szCs w:val="24"/>
        </w:rPr>
        <w:t>Metodo</w:t>
      </w:r>
    </w:p>
    <w:p w14:paraId="082F11F4" w14:textId="4D5669B9" w:rsidR="00AD2888" w:rsidRPr="00AD2888" w:rsidRDefault="006F5247" w:rsidP="00AD2888">
      <w:pPr>
        <w:spacing w:before="240"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 xml:space="preserve">È stata realizzata un’analisi documentale (Bowen, 2009) sul corpus di </w:t>
      </w:r>
      <w:r w:rsidRPr="006B6602">
        <w:rPr>
          <w:rFonts w:eastAsia="Times New Roman"/>
        </w:rPr>
        <w:t xml:space="preserve">prove di </w:t>
      </w:r>
      <w:r>
        <w:rPr>
          <w:rFonts w:eastAsia="Times New Roman"/>
        </w:rPr>
        <w:t xml:space="preserve">verifica </w:t>
      </w:r>
      <w:r w:rsidR="0011179F">
        <w:rPr>
          <w:rFonts w:eastAsia="Times New Roman"/>
        </w:rPr>
        <w:t>raccolte</w:t>
      </w:r>
      <w:r>
        <w:rPr>
          <w:rFonts w:eastAsia="Times New Roman"/>
        </w:rPr>
        <w:t>. I</w:t>
      </w:r>
      <w:r w:rsidRPr="008D08B7">
        <w:rPr>
          <w:rFonts w:eastAsia="Times New Roman"/>
          <w:color w:val="000000" w:themeColor="text1"/>
          <w:highlight w:val="white"/>
        </w:rPr>
        <w:t xml:space="preserve">l corpus </w:t>
      </w:r>
      <w:r>
        <w:rPr>
          <w:rFonts w:eastAsia="Times New Roman"/>
          <w:color w:val="000000" w:themeColor="text1"/>
          <w:highlight w:val="white"/>
        </w:rPr>
        <w:t xml:space="preserve">di analisi </w:t>
      </w:r>
      <w:r w:rsidRPr="008D08B7">
        <w:rPr>
          <w:rFonts w:eastAsia="Times New Roman"/>
          <w:color w:val="000000" w:themeColor="text1"/>
          <w:highlight w:val="white"/>
        </w:rPr>
        <w:t xml:space="preserve">è costituito da </w:t>
      </w:r>
      <w:r>
        <w:rPr>
          <w:rFonts w:eastAsia="Times New Roman"/>
          <w:color w:val="000000" w:themeColor="text1"/>
          <w:highlight w:val="white"/>
        </w:rPr>
        <w:t>documenti ‘naturali’ (Cardano, 2</w:t>
      </w:r>
      <w:r w:rsidR="00AD2888">
        <w:rPr>
          <w:rFonts w:eastAsia="Times New Roman"/>
          <w:color w:val="000000" w:themeColor="text1"/>
          <w:highlight w:val="white"/>
        </w:rPr>
        <w:t>003), preesistenti all’indagine</w:t>
      </w:r>
      <w:r>
        <w:rPr>
          <w:rFonts w:eastAsia="Times New Roman"/>
          <w:color w:val="000000" w:themeColor="text1"/>
          <w:highlight w:val="white"/>
        </w:rPr>
        <w:t xml:space="preserve"> che come ‘artefatti’ prodotti dall’istituzione scolastica nell’ambito delle pratiche didattiche in uso</w:t>
      </w:r>
      <w:r w:rsidR="00527507">
        <w:rPr>
          <w:rFonts w:eastAsia="Times New Roman"/>
          <w:color w:val="000000" w:themeColor="text1"/>
          <w:highlight w:val="white"/>
        </w:rPr>
        <w:t xml:space="preserve"> (Corbetta, 2003</w:t>
      </w:r>
      <w:r w:rsidR="00527507" w:rsidRPr="007E4168">
        <w:rPr>
          <w:rFonts w:eastAsia="Times New Roman"/>
          <w:color w:val="000000" w:themeColor="text1"/>
        </w:rPr>
        <w:t xml:space="preserve">; </w:t>
      </w:r>
      <w:r w:rsidR="003674AE" w:rsidRPr="007E4168">
        <w:rPr>
          <w:rFonts w:eastAsia="Times New Roman"/>
          <w:color w:val="000000" w:themeColor="text1"/>
        </w:rPr>
        <w:t>AUTHOR1</w:t>
      </w:r>
      <w:r w:rsidR="00527507" w:rsidRPr="007E4168">
        <w:rPr>
          <w:rFonts w:eastAsia="Times New Roman"/>
          <w:color w:val="000000" w:themeColor="text1"/>
        </w:rPr>
        <w:t xml:space="preserve">, 2021). </w:t>
      </w:r>
      <w:r w:rsidR="00F0014A">
        <w:rPr>
          <w:rFonts w:eastAsia="Times New Roman"/>
          <w:color w:val="000000" w:themeColor="text1"/>
          <w:highlight w:val="white"/>
        </w:rPr>
        <w:t xml:space="preserve">Tali documenti sono, per altro, di ‘specifico uso’ (Bowen, 2009), </w:t>
      </w:r>
      <w:r>
        <w:rPr>
          <w:rFonts w:eastAsia="Times New Roman"/>
          <w:color w:val="000000" w:themeColor="text1"/>
          <w:highlight w:val="white"/>
        </w:rPr>
        <w:t xml:space="preserve">hanno la funzione di </w:t>
      </w:r>
      <w:r w:rsidRPr="00FA7142">
        <w:rPr>
          <w:rFonts w:eastAsia="Times New Roman"/>
          <w:i/>
          <w:color w:val="000000" w:themeColor="text1"/>
          <w:highlight w:val="white"/>
        </w:rPr>
        <w:t>mezzi</w:t>
      </w:r>
      <w:r>
        <w:rPr>
          <w:rFonts w:eastAsia="Times New Roman"/>
          <w:color w:val="000000" w:themeColor="text1"/>
          <w:highlight w:val="white"/>
        </w:rPr>
        <w:t xml:space="preserve"> per effettuare la verifica periodica degli apprendimenti e al contempo </w:t>
      </w:r>
      <w:r w:rsidRPr="00FA7142">
        <w:rPr>
          <w:rFonts w:eastAsia="Times New Roman"/>
          <w:i/>
          <w:color w:val="000000" w:themeColor="text1"/>
          <w:highlight w:val="white"/>
        </w:rPr>
        <w:t>procedure</w:t>
      </w:r>
      <w:r>
        <w:rPr>
          <w:rFonts w:eastAsia="Times New Roman"/>
          <w:color w:val="000000" w:themeColor="text1"/>
          <w:highlight w:val="white"/>
        </w:rPr>
        <w:t xml:space="preserve"> per il monitoraggio dei processi di insegnamento-apprendimento.</w:t>
      </w:r>
      <w:r>
        <w:rPr>
          <w:rFonts w:eastAsia="Times New Roman"/>
          <w:color w:val="000000" w:themeColor="text1"/>
        </w:rPr>
        <w:t xml:space="preserve"> </w:t>
      </w:r>
      <w:r w:rsidR="00F0014A">
        <w:rPr>
          <w:rFonts w:eastAsia="Times New Roman"/>
          <w:color w:val="000000" w:themeColor="text1"/>
        </w:rPr>
        <w:t xml:space="preserve">Tali informazioni </w:t>
      </w:r>
      <w:r w:rsidR="00F0014A">
        <w:rPr>
          <w:rFonts w:eastAsia="Times New Roman"/>
          <w:color w:val="000000" w:themeColor="text1"/>
        </w:rPr>
        <w:lastRenderedPageBreak/>
        <w:t>possono essere tenute in conto in sede di analisi per far emergere specificità di contesto appartenenti all’oggetto indagato secondo un approccio ‘</w:t>
      </w:r>
      <w:r w:rsidR="00F0014A">
        <w:rPr>
          <w:rFonts w:eastAsia="Times New Roman"/>
        </w:rPr>
        <w:t>grounded’</w:t>
      </w:r>
      <w:r w:rsidR="00AD2888">
        <w:rPr>
          <w:rFonts w:eastAsia="Times New Roman"/>
        </w:rPr>
        <w:t xml:space="preserve"> (</w:t>
      </w:r>
      <w:r w:rsidR="00F0014A">
        <w:rPr>
          <w:rFonts w:eastAsia="Times New Roman"/>
        </w:rPr>
        <w:t>Corbin e Strauss, 1998</w:t>
      </w:r>
      <w:r w:rsidR="00AD2888">
        <w:rPr>
          <w:rFonts w:eastAsia="Times New Roman"/>
        </w:rPr>
        <w:t>)</w:t>
      </w:r>
      <w:r w:rsidR="00AD2888" w:rsidRPr="006B6602">
        <w:rPr>
          <w:rFonts w:eastAsia="Times New Roman"/>
        </w:rPr>
        <w:t>.</w:t>
      </w:r>
    </w:p>
    <w:p w14:paraId="409C219D" w14:textId="77777777" w:rsidR="00F0014A" w:rsidRDefault="00F0014A" w:rsidP="00AD2888">
      <w:pPr>
        <w:spacing w:line="360" w:lineRule="auto"/>
        <w:jc w:val="both"/>
        <w:rPr>
          <w:rFonts w:eastAsia="Times New Roman"/>
        </w:rPr>
      </w:pPr>
    </w:p>
    <w:p w14:paraId="47A335A2" w14:textId="11681AF1" w:rsidR="006666EC" w:rsidRPr="00891390" w:rsidRDefault="00D81E12" w:rsidP="00AD2888">
      <w:pPr>
        <w:spacing w:line="360" w:lineRule="auto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3</w:t>
      </w:r>
      <w:r w:rsidR="006666EC" w:rsidRPr="00891390">
        <w:rPr>
          <w:rFonts w:eastAsia="Times New Roman"/>
          <w:b/>
          <w:i/>
        </w:rPr>
        <w:t>.4.1 Modalità di analisi</w:t>
      </w:r>
    </w:p>
    <w:p w14:paraId="0107A4B5" w14:textId="534BDC82" w:rsidR="00891390" w:rsidRDefault="00891390" w:rsidP="00AD288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L'analisi documentale si è svolta per processo ricorsivo </w:t>
      </w:r>
      <w:r w:rsidR="00DC1654">
        <w:rPr>
          <w:rFonts w:eastAsia="Times New Roman"/>
        </w:rPr>
        <w:t xml:space="preserve">(Bowen, 2009) </w:t>
      </w:r>
      <w:r>
        <w:rPr>
          <w:rFonts w:eastAsia="Times New Roman"/>
        </w:rPr>
        <w:t>attraverso:</w:t>
      </w:r>
    </w:p>
    <w:p w14:paraId="354F9767" w14:textId="47EFB800" w:rsidR="00891390" w:rsidRPr="000B670F" w:rsidRDefault="00891390" w:rsidP="00891390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B670F">
        <w:rPr>
          <w:rFonts w:ascii="Times New Roman" w:eastAsia="Times New Roman" w:hAnsi="Times New Roman" w:cs="Times New Roman"/>
        </w:rPr>
        <w:t xml:space="preserve">prima </w:t>
      </w:r>
      <w:r w:rsidRPr="000B670F">
        <w:rPr>
          <w:rFonts w:ascii="Times New Roman" w:eastAsia="Times New Roman" w:hAnsi="Times New Roman" w:cs="Times New Roman"/>
          <w:color w:val="000000" w:themeColor="text1"/>
        </w:rPr>
        <w:t>scrematura (esame superficiale) che ha individuato quali fossero i documenti coerenti con lo scopo dell’indagine ed eliminato quelli ripetitivi, in modo da creare un quadro equilibrato;</w:t>
      </w:r>
    </w:p>
    <w:p w14:paraId="4CFE5A46" w14:textId="6D917DAF" w:rsidR="00891390" w:rsidRPr="000B670F" w:rsidRDefault="00891390" w:rsidP="00891390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B670F">
        <w:rPr>
          <w:rFonts w:ascii="Times New Roman" w:eastAsia="Times New Roman" w:hAnsi="Times New Roman" w:cs="Times New Roman"/>
          <w:color w:val="000000" w:themeColor="text1"/>
        </w:rPr>
        <w:t>lettura (esame approfondito)</w:t>
      </w:r>
      <w:r w:rsidR="00ED48FA" w:rsidRPr="000B670F">
        <w:rPr>
          <w:rFonts w:ascii="Times New Roman" w:eastAsia="Times New Roman" w:hAnsi="Times New Roman" w:cs="Times New Roman"/>
          <w:color w:val="000000" w:themeColor="text1"/>
        </w:rPr>
        <w:t xml:space="preserve"> che ha comportato la revisione dei documenti allo scopo di identificare i passaggi significativi e </w:t>
      </w:r>
      <w:r w:rsidR="00FF0696" w:rsidRPr="000B670F">
        <w:rPr>
          <w:rFonts w:ascii="Times New Roman" w:eastAsia="Times New Roman" w:hAnsi="Times New Roman" w:cs="Times New Roman"/>
          <w:color w:val="000000" w:themeColor="text1"/>
        </w:rPr>
        <w:t>pertinenti</w:t>
      </w:r>
      <w:r w:rsidR="00ED48FA" w:rsidRPr="000B670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FF0696" w:rsidRPr="000B670F">
        <w:rPr>
          <w:rFonts w:ascii="Times New Roman" w:eastAsia="Times New Roman" w:hAnsi="Times New Roman" w:cs="Times New Roman"/>
          <w:color w:val="000000" w:themeColor="text1"/>
        </w:rPr>
        <w:t xml:space="preserve">Tale fase è stata realizzata in modo </w:t>
      </w:r>
      <w:r w:rsidR="00637379" w:rsidRPr="000B670F">
        <w:rPr>
          <w:rFonts w:ascii="Times New Roman" w:eastAsia="Times New Roman" w:hAnsi="Times New Roman" w:cs="Times New Roman"/>
          <w:color w:val="000000" w:themeColor="text1"/>
        </w:rPr>
        <w:t xml:space="preserve">orientato sulla base dei criteri suggeriti dalla ricerca e assunti come guide per l’interpretazione (cfr. par. 2). </w:t>
      </w:r>
    </w:p>
    <w:p w14:paraId="731C342F" w14:textId="7DC9ACF8" w:rsidR="00891390" w:rsidRPr="000B670F" w:rsidRDefault="00637379" w:rsidP="00235BB3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B670F">
        <w:rPr>
          <w:rFonts w:ascii="Times New Roman" w:eastAsia="Times New Roman" w:hAnsi="Times New Roman" w:cs="Times New Roman"/>
          <w:color w:val="000000" w:themeColor="text1"/>
        </w:rPr>
        <w:t xml:space="preserve">interpretazione, tesa a far emergere aspetti convergenti e divergenti rispetto ai criteri che hanno orientato la fase della </w:t>
      </w:r>
      <w:r w:rsidRPr="000B670F">
        <w:rPr>
          <w:rFonts w:ascii="Times New Roman" w:eastAsia="Times New Roman" w:hAnsi="Times New Roman" w:cs="Times New Roman"/>
        </w:rPr>
        <w:t>lettura.</w:t>
      </w:r>
    </w:p>
    <w:p w14:paraId="568A4F2D" w14:textId="56AA9994" w:rsidR="00BB47C2" w:rsidRPr="00637379" w:rsidRDefault="00637379" w:rsidP="00637379">
      <w:pPr>
        <w:spacing w:before="240" w:line="360" w:lineRule="auto"/>
        <w:jc w:val="both"/>
        <w:rPr>
          <w:rFonts w:eastAsia="Times New Roman"/>
          <w:vertAlign w:val="superscript"/>
        </w:rPr>
      </w:pPr>
      <w:r w:rsidRPr="00637379">
        <w:rPr>
          <w:rFonts w:eastAsia="Times New Roman"/>
          <w:color w:val="000000" w:themeColor="text1"/>
        </w:rPr>
        <w:t xml:space="preserve">In quanto prove di area geometrica, il corpus analizzato </w:t>
      </w:r>
      <w:r w:rsidR="000B670F">
        <w:rPr>
          <w:rFonts w:eastAsia="Times New Roman"/>
          <w:color w:val="000000" w:themeColor="text1"/>
        </w:rPr>
        <w:t>contiene anche</w:t>
      </w:r>
      <w:r w:rsidRPr="00637379">
        <w:rPr>
          <w:rFonts w:eastAsia="Times New Roman"/>
          <w:color w:val="000000" w:themeColor="text1"/>
        </w:rPr>
        <w:t xml:space="preserve"> </w:t>
      </w:r>
      <w:r w:rsidRPr="000B670F">
        <w:rPr>
          <w:rFonts w:eastAsia="Times New Roman"/>
          <w:color w:val="000000" w:themeColor="text1"/>
        </w:rPr>
        <w:t>come documenti ‘</w:t>
      </w:r>
      <w:r w:rsidRPr="000B670F">
        <w:rPr>
          <w:rFonts w:eastAsia="Times New Roman"/>
        </w:rPr>
        <w:t xml:space="preserve">segnici’, </w:t>
      </w:r>
      <w:r w:rsidRPr="000B670F">
        <w:rPr>
          <w:rFonts w:eastAsia="Times New Roman"/>
          <w:color w:val="000000" w:themeColor="text1"/>
        </w:rPr>
        <w:t>che combinano in vario modo elementi verbali scritti e iconici (Cardano, 2003).</w:t>
      </w:r>
      <w:r w:rsidRPr="000B670F">
        <w:rPr>
          <w:rFonts w:eastAsia="Times New Roman"/>
          <w:vertAlign w:val="superscript"/>
        </w:rPr>
        <w:t xml:space="preserve"> </w:t>
      </w:r>
      <w:r w:rsidR="000B670F" w:rsidRPr="000B670F">
        <w:rPr>
          <w:rFonts w:eastAsia="Times New Roman"/>
        </w:rPr>
        <w:t>Anche per questo</w:t>
      </w:r>
      <w:r w:rsidRPr="000B670F">
        <w:rPr>
          <w:rFonts w:eastAsia="Times New Roman"/>
        </w:rPr>
        <w:t xml:space="preserve"> l’analisi ha focalizzato l’attenzione</w:t>
      </w:r>
      <w:r w:rsidR="000B670F" w:rsidRPr="000B670F">
        <w:rPr>
          <w:rFonts w:eastAsia="Times New Roman"/>
        </w:rPr>
        <w:t xml:space="preserve"> - oltre che</w:t>
      </w:r>
      <w:r w:rsidRPr="000B670F">
        <w:rPr>
          <w:rFonts w:eastAsia="Times New Roman"/>
        </w:rPr>
        <w:t xml:space="preserve"> </w:t>
      </w:r>
      <w:r w:rsidR="000B670F" w:rsidRPr="000B670F">
        <w:rPr>
          <w:rFonts w:eastAsia="Times New Roman"/>
        </w:rPr>
        <w:t>su aspetti di contenuto (cfr. Tab. 1, n. 1), di formato (cfr. Tab. 1, n. 9) e linguistico-stilistici</w:t>
      </w:r>
      <w:r w:rsidRPr="000B670F">
        <w:rPr>
          <w:rFonts w:eastAsia="Times New Roman"/>
        </w:rPr>
        <w:t xml:space="preserve"> (c</w:t>
      </w:r>
      <w:r w:rsidR="000B670F" w:rsidRPr="000B670F">
        <w:rPr>
          <w:rFonts w:eastAsia="Times New Roman"/>
        </w:rPr>
        <w:t xml:space="preserve">fr. Tab. 1, n. 8, 12, 13, 14) - </w:t>
      </w:r>
      <w:r w:rsidRPr="000B670F">
        <w:rPr>
          <w:rFonts w:eastAsia="Times New Roman"/>
        </w:rPr>
        <w:t>su</w:t>
      </w:r>
      <w:r w:rsidR="00A9486F">
        <w:rPr>
          <w:rFonts w:eastAsia="Times New Roman"/>
        </w:rPr>
        <w:t>ll’apparato grafico-iconico</w:t>
      </w:r>
      <w:r w:rsidRPr="000B670F">
        <w:rPr>
          <w:rFonts w:eastAsia="Times New Roman"/>
        </w:rPr>
        <w:t xml:space="preserve"> a corredo delle stesse (</w:t>
      </w:r>
      <w:r w:rsidR="000B670F" w:rsidRPr="000B670F">
        <w:rPr>
          <w:rFonts w:eastAsia="Times New Roman"/>
        </w:rPr>
        <w:t>cfr. Tab. 1, n. 7, 29).</w:t>
      </w:r>
    </w:p>
    <w:p w14:paraId="49B719FB" w14:textId="2A9B08BA" w:rsidR="003F6B12" w:rsidRPr="00563770" w:rsidRDefault="006F47B1" w:rsidP="00D81E12">
      <w:pPr>
        <w:pStyle w:val="Titolo3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63770">
        <w:rPr>
          <w:rFonts w:ascii="Times New Roman" w:hAnsi="Times New Roman" w:cs="Times New Roman"/>
          <w:i/>
          <w:iCs/>
          <w:sz w:val="24"/>
          <w:szCs w:val="24"/>
        </w:rPr>
        <w:t>Risultati</w:t>
      </w:r>
    </w:p>
    <w:p w14:paraId="4F1547FB" w14:textId="46F3B5DB" w:rsidR="00E05306" w:rsidRDefault="00E05306" w:rsidP="007061E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L’</w:t>
      </w:r>
      <w:r w:rsidR="007061E9">
        <w:rPr>
          <w:rFonts w:eastAsia="Times New Roman"/>
          <w:color w:val="000000"/>
        </w:rPr>
        <w:t xml:space="preserve">analisi </w:t>
      </w:r>
      <w:r>
        <w:rPr>
          <w:rFonts w:eastAsia="Times New Roman"/>
          <w:color w:val="000000"/>
        </w:rPr>
        <w:t xml:space="preserve">mette in evidenza </w:t>
      </w:r>
      <w:r w:rsidR="007061E9">
        <w:rPr>
          <w:rFonts w:eastAsia="Times New Roman"/>
          <w:color w:val="000000"/>
        </w:rPr>
        <w:t>la presenza di alcuni</w:t>
      </w:r>
      <w:r w:rsidR="006F47B1" w:rsidRPr="006B6602">
        <w:rPr>
          <w:rFonts w:eastAsia="Times New Roman"/>
          <w:color w:val="000000"/>
        </w:rPr>
        <w:t xml:space="preserve"> </w:t>
      </w:r>
      <w:r w:rsidR="003B56A7" w:rsidRPr="006B6602">
        <w:rPr>
          <w:rFonts w:eastAsia="Times New Roman"/>
          <w:color w:val="000000"/>
        </w:rPr>
        <w:t>errori</w:t>
      </w:r>
      <w:r w:rsidR="007061E9" w:rsidRPr="007061E9">
        <w:rPr>
          <w:rFonts w:eastAsia="Times New Roman"/>
          <w:color w:val="000000"/>
        </w:rPr>
        <w:t xml:space="preserve"> </w:t>
      </w:r>
      <w:r w:rsidR="007061E9" w:rsidRPr="006B6602">
        <w:rPr>
          <w:rFonts w:eastAsia="Times New Roman"/>
          <w:color w:val="000000"/>
        </w:rPr>
        <w:t>ricorrenti</w:t>
      </w:r>
      <w:r w:rsidR="007061E9">
        <w:rPr>
          <w:rFonts w:eastAsia="Times New Roman"/>
          <w:color w:val="000000"/>
        </w:rPr>
        <w:t xml:space="preserve"> che riguardano aspetti di contenuto, linguistici e legati alle alternative di risposta, ossia: a. c</w:t>
      </w:r>
      <w:r w:rsidR="00D92B6D" w:rsidRPr="006B6602">
        <w:rPr>
          <w:rFonts w:eastAsia="Times New Roman"/>
          <w:color w:val="000000"/>
        </w:rPr>
        <w:t>onsegna ambigua;</w:t>
      </w:r>
      <w:r w:rsidR="007061E9">
        <w:rPr>
          <w:rFonts w:eastAsia="Times New Roman"/>
          <w:color w:val="000000"/>
        </w:rPr>
        <w:t xml:space="preserve"> b. item </w:t>
      </w:r>
      <w:r w:rsidR="00D92B6D" w:rsidRPr="006B6602">
        <w:rPr>
          <w:rFonts w:eastAsia="Times New Roman"/>
          <w:color w:val="000000"/>
        </w:rPr>
        <w:t xml:space="preserve">non </w:t>
      </w:r>
      <w:r w:rsidR="00A9486F">
        <w:rPr>
          <w:rFonts w:eastAsia="Times New Roman"/>
          <w:color w:val="000000"/>
        </w:rPr>
        <w:t xml:space="preserve">allineati </w:t>
      </w:r>
      <w:r w:rsidR="00235BB3">
        <w:rPr>
          <w:rFonts w:eastAsia="Times New Roman"/>
          <w:color w:val="000000"/>
        </w:rPr>
        <w:t xml:space="preserve">agli </w:t>
      </w:r>
      <w:r w:rsidR="00A9486F">
        <w:rPr>
          <w:rFonts w:eastAsia="Times New Roman"/>
          <w:color w:val="000000"/>
        </w:rPr>
        <w:t>obiettivi di apprendimento</w:t>
      </w:r>
      <w:r w:rsidR="006F47B1" w:rsidRPr="006B6602">
        <w:rPr>
          <w:rFonts w:eastAsia="Times New Roman"/>
          <w:color w:val="000000"/>
        </w:rPr>
        <w:t>;</w:t>
      </w:r>
      <w:r w:rsidR="007061E9">
        <w:rPr>
          <w:rFonts w:eastAsia="Times New Roman"/>
          <w:color w:val="000000"/>
        </w:rPr>
        <w:t xml:space="preserve"> c. u</w:t>
      </w:r>
      <w:r w:rsidR="006E6F23" w:rsidRPr="006B6602">
        <w:rPr>
          <w:rFonts w:eastAsia="Times New Roman"/>
          <w:color w:val="000000"/>
        </w:rPr>
        <w:t xml:space="preserve">tilizzo di referenti </w:t>
      </w:r>
      <w:r w:rsidR="00A9486F">
        <w:rPr>
          <w:rFonts w:eastAsia="Times New Roman"/>
          <w:color w:val="000000"/>
        </w:rPr>
        <w:t xml:space="preserve">grafico-iconici </w:t>
      </w:r>
      <w:r w:rsidR="006E6F23" w:rsidRPr="006B6602">
        <w:rPr>
          <w:rFonts w:eastAsia="Times New Roman"/>
          <w:color w:val="000000"/>
        </w:rPr>
        <w:t>non adeguati.</w:t>
      </w:r>
      <w:r w:rsidR="000B2A77">
        <w:rPr>
          <w:rFonts w:eastAsia="Times New Roman"/>
          <w:color w:val="000000"/>
        </w:rPr>
        <w:t xml:space="preserve"> 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A9486F" w14:paraId="0E4C3512" w14:textId="77777777" w:rsidTr="00235BB3">
        <w:tc>
          <w:tcPr>
            <w:tcW w:w="2410" w:type="dxa"/>
          </w:tcPr>
          <w:p w14:paraId="461DE99B" w14:textId="77777777" w:rsidR="00A9486F" w:rsidRPr="00A9486F" w:rsidRDefault="00A9486F" w:rsidP="00A9486F">
            <w:pPr>
              <w:spacing w:before="240"/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228" w:type="dxa"/>
            <w:gridSpan w:val="3"/>
          </w:tcPr>
          <w:p w14:paraId="427E9CA5" w14:textId="20D0C11B" w:rsidR="00A9486F" w:rsidRPr="00A9486F" w:rsidRDefault="00A9486F" w:rsidP="00A9486F">
            <w:pPr>
              <w:spacing w:before="240"/>
              <w:jc w:val="center"/>
              <w:rPr>
                <w:rFonts w:eastAsia="Times New Roman"/>
                <w:b/>
                <w:color w:val="000000"/>
              </w:rPr>
            </w:pPr>
            <w:r w:rsidRPr="00A9486F">
              <w:rPr>
                <w:rFonts w:eastAsia="Times New Roman"/>
                <w:b/>
                <w:color w:val="000000"/>
              </w:rPr>
              <w:t>Ti</w:t>
            </w:r>
            <w:r>
              <w:rPr>
                <w:rFonts w:eastAsia="Times New Roman"/>
                <w:b/>
                <w:color w:val="000000"/>
              </w:rPr>
              <w:t xml:space="preserve">pologie </w:t>
            </w:r>
            <w:r w:rsidRPr="00A9486F">
              <w:rPr>
                <w:rFonts w:eastAsia="Times New Roman"/>
                <w:b/>
                <w:color w:val="000000"/>
              </w:rPr>
              <w:t>di prove</w:t>
            </w:r>
            <w:r>
              <w:rPr>
                <w:rFonts w:eastAsia="Times New Roman"/>
                <w:b/>
                <w:color w:val="000000"/>
              </w:rPr>
              <w:t xml:space="preserve"> (n.)</w:t>
            </w:r>
          </w:p>
        </w:tc>
      </w:tr>
      <w:tr w:rsidR="00A9486F" w14:paraId="5B507CD7" w14:textId="77777777" w:rsidTr="00A9486F">
        <w:tc>
          <w:tcPr>
            <w:tcW w:w="2410" w:type="dxa"/>
          </w:tcPr>
          <w:p w14:paraId="1448EE0F" w14:textId="47499A1A" w:rsidR="00A9486F" w:rsidRPr="00A9486F" w:rsidRDefault="00A9486F" w:rsidP="00A9486F">
            <w:pPr>
              <w:spacing w:before="240"/>
              <w:jc w:val="both"/>
              <w:rPr>
                <w:rFonts w:eastAsia="Times New Roman"/>
                <w:b/>
                <w:color w:val="000000"/>
              </w:rPr>
            </w:pPr>
            <w:r w:rsidRPr="00A9486F">
              <w:rPr>
                <w:rFonts w:eastAsia="Times New Roman"/>
                <w:b/>
                <w:color w:val="000000"/>
              </w:rPr>
              <w:t>Criteri</w:t>
            </w:r>
          </w:p>
        </w:tc>
        <w:tc>
          <w:tcPr>
            <w:tcW w:w="2409" w:type="dxa"/>
          </w:tcPr>
          <w:p w14:paraId="10FA885E" w14:textId="12E87063" w:rsidR="00A9486F" w:rsidRPr="009B3F8B" w:rsidRDefault="00A9486F" w:rsidP="009B3F8B">
            <w:pPr>
              <w:spacing w:before="240"/>
              <w:jc w:val="both"/>
              <w:rPr>
                <w:rFonts w:eastAsia="Times New Roman"/>
                <w:b/>
                <w:color w:val="000000"/>
              </w:rPr>
            </w:pPr>
            <w:r w:rsidRPr="009B3F8B">
              <w:rPr>
                <w:rFonts w:eastAsia="Times New Roman"/>
                <w:b/>
                <w:color w:val="000000"/>
              </w:rPr>
              <w:t>Carta-e-matita (</w:t>
            </w:r>
            <w:r w:rsidR="009B3F8B" w:rsidRPr="009B3F8B">
              <w:rPr>
                <w:rFonts w:eastAsia="Times New Roman"/>
                <w:b/>
                <w:color w:val="000000"/>
              </w:rPr>
              <w:t>7</w:t>
            </w:r>
            <w:r w:rsidRPr="009B3F8B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2409" w:type="dxa"/>
          </w:tcPr>
          <w:p w14:paraId="4CE17B82" w14:textId="0CD57F0A" w:rsidR="00A9486F" w:rsidRPr="009B3F8B" w:rsidRDefault="00A9486F" w:rsidP="00A9486F">
            <w:pPr>
              <w:spacing w:before="240"/>
              <w:jc w:val="both"/>
              <w:rPr>
                <w:rFonts w:eastAsia="Times New Roman"/>
                <w:b/>
                <w:color w:val="000000"/>
              </w:rPr>
            </w:pPr>
            <w:r w:rsidRPr="009B3F8B">
              <w:rPr>
                <w:rFonts w:eastAsia="Times New Roman"/>
                <w:b/>
                <w:color w:val="000000"/>
              </w:rPr>
              <w:t>Libri di testo (</w:t>
            </w:r>
            <w:r w:rsidR="009B3F8B" w:rsidRPr="009B3F8B">
              <w:rPr>
                <w:rFonts w:eastAsia="Times New Roman"/>
                <w:b/>
                <w:color w:val="000000"/>
              </w:rPr>
              <w:t>3</w:t>
            </w:r>
            <w:r w:rsidRPr="009B3F8B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2410" w:type="dxa"/>
          </w:tcPr>
          <w:p w14:paraId="014BFDB3" w14:textId="038CE65E" w:rsidR="00A9486F" w:rsidRPr="009B3F8B" w:rsidRDefault="00A9486F" w:rsidP="00A9486F">
            <w:pPr>
              <w:spacing w:before="240"/>
              <w:jc w:val="both"/>
              <w:rPr>
                <w:rFonts w:eastAsia="Times New Roman"/>
                <w:b/>
                <w:color w:val="000000"/>
              </w:rPr>
            </w:pPr>
            <w:r w:rsidRPr="009B3F8B">
              <w:rPr>
                <w:rFonts w:eastAsia="Times New Roman"/>
                <w:b/>
                <w:color w:val="000000"/>
              </w:rPr>
              <w:t>INVALSI (5)</w:t>
            </w:r>
          </w:p>
        </w:tc>
      </w:tr>
      <w:tr w:rsidR="00A9486F" w14:paraId="566746F7" w14:textId="77777777" w:rsidTr="00A9486F">
        <w:tc>
          <w:tcPr>
            <w:tcW w:w="2410" w:type="dxa"/>
          </w:tcPr>
          <w:p w14:paraId="39D22284" w14:textId="6DA9A07F" w:rsidR="00A9486F" w:rsidRDefault="00A9486F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Contenuto</w:t>
            </w:r>
          </w:p>
        </w:tc>
        <w:tc>
          <w:tcPr>
            <w:tcW w:w="2409" w:type="dxa"/>
          </w:tcPr>
          <w:p w14:paraId="3273660C" w14:textId="7C9CD3F2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09" w:type="dxa"/>
          </w:tcPr>
          <w:p w14:paraId="4D830229" w14:textId="3880CB8D" w:rsidR="00A9486F" w:rsidRPr="009B3F8B" w:rsidRDefault="009B3F8B" w:rsidP="009B3F8B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35F6C16D" w14:textId="7DC7E646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0</w:t>
            </w:r>
          </w:p>
        </w:tc>
      </w:tr>
      <w:tr w:rsidR="00A9486F" w14:paraId="1C8D5C33" w14:textId="77777777" w:rsidTr="00A9486F">
        <w:tc>
          <w:tcPr>
            <w:tcW w:w="2410" w:type="dxa"/>
          </w:tcPr>
          <w:p w14:paraId="531A5FCD" w14:textId="1F7F2C2A" w:rsidR="00A9486F" w:rsidRDefault="00A9486F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Formato</w:t>
            </w:r>
          </w:p>
        </w:tc>
        <w:tc>
          <w:tcPr>
            <w:tcW w:w="2409" w:type="dxa"/>
          </w:tcPr>
          <w:p w14:paraId="01958100" w14:textId="68321A4B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09" w:type="dxa"/>
          </w:tcPr>
          <w:p w14:paraId="35DA0ECB" w14:textId="021884C6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09765AFD" w14:textId="60B50F52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0</w:t>
            </w:r>
          </w:p>
        </w:tc>
      </w:tr>
      <w:tr w:rsidR="00A9486F" w14:paraId="1DF2CF9F" w14:textId="77777777" w:rsidTr="00A9486F">
        <w:tc>
          <w:tcPr>
            <w:tcW w:w="2410" w:type="dxa"/>
          </w:tcPr>
          <w:p w14:paraId="7616E485" w14:textId="6CCDFCD4" w:rsidR="00A9486F" w:rsidRDefault="00A9486F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Linguistico-stilistici</w:t>
            </w:r>
          </w:p>
        </w:tc>
        <w:tc>
          <w:tcPr>
            <w:tcW w:w="2409" w:type="dxa"/>
          </w:tcPr>
          <w:p w14:paraId="30299BC5" w14:textId="3E3DA38E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9" w:type="dxa"/>
          </w:tcPr>
          <w:p w14:paraId="6749B3E8" w14:textId="7D295BA5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14:paraId="1187B336" w14:textId="7B695C80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0</w:t>
            </w:r>
          </w:p>
        </w:tc>
      </w:tr>
      <w:tr w:rsidR="00A9486F" w14:paraId="3B158386" w14:textId="77777777" w:rsidTr="00A9486F">
        <w:tc>
          <w:tcPr>
            <w:tcW w:w="2410" w:type="dxa"/>
          </w:tcPr>
          <w:p w14:paraId="75BF16D6" w14:textId="43636DEB" w:rsidR="00A9486F" w:rsidRDefault="00A9486F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Grafico-iconici</w:t>
            </w:r>
          </w:p>
        </w:tc>
        <w:tc>
          <w:tcPr>
            <w:tcW w:w="2409" w:type="dxa"/>
          </w:tcPr>
          <w:p w14:paraId="3EDBF7AB" w14:textId="01A6FBFC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9" w:type="dxa"/>
          </w:tcPr>
          <w:p w14:paraId="17B93291" w14:textId="416C66DA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36D5972E" w14:textId="0D5D93A5" w:rsidR="00A9486F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0</w:t>
            </w:r>
          </w:p>
        </w:tc>
      </w:tr>
      <w:tr w:rsidR="00502956" w14:paraId="5217DCC9" w14:textId="77777777" w:rsidTr="00A9486F">
        <w:tc>
          <w:tcPr>
            <w:tcW w:w="2410" w:type="dxa"/>
          </w:tcPr>
          <w:p w14:paraId="628DFF89" w14:textId="787DE681" w:rsidR="00502956" w:rsidRDefault="00502956" w:rsidP="00502956">
            <w:pPr>
              <w:spacing w:before="24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Tot.</w:t>
            </w:r>
          </w:p>
        </w:tc>
        <w:tc>
          <w:tcPr>
            <w:tcW w:w="2409" w:type="dxa"/>
          </w:tcPr>
          <w:p w14:paraId="7C91085A" w14:textId="518590B7" w:rsidR="00502956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409" w:type="dxa"/>
          </w:tcPr>
          <w:p w14:paraId="62FA5FE0" w14:textId="3B1039D5" w:rsidR="00502956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410" w:type="dxa"/>
          </w:tcPr>
          <w:p w14:paraId="3A3D05E4" w14:textId="4616C7BA" w:rsidR="00502956" w:rsidRPr="009B3F8B" w:rsidRDefault="009B3F8B" w:rsidP="00A9486F">
            <w:pPr>
              <w:spacing w:before="240"/>
              <w:jc w:val="both"/>
              <w:rPr>
                <w:rFonts w:eastAsia="Times New Roman"/>
                <w:color w:val="000000"/>
              </w:rPr>
            </w:pPr>
            <w:r w:rsidRPr="009B3F8B">
              <w:rPr>
                <w:rFonts w:eastAsia="Times New Roman"/>
                <w:color w:val="000000"/>
              </w:rPr>
              <w:t>0</w:t>
            </w:r>
          </w:p>
        </w:tc>
      </w:tr>
    </w:tbl>
    <w:p w14:paraId="7848F236" w14:textId="34153C7E" w:rsidR="00E05306" w:rsidRPr="00A9486F" w:rsidRDefault="00A9486F" w:rsidP="00A9486F">
      <w:pPr>
        <w:spacing w:line="36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Tabella 3 – Tipologie e numero di errori rilevati</w:t>
      </w:r>
    </w:p>
    <w:p w14:paraId="6B5BABC6" w14:textId="1BC7D0F8" w:rsidR="003F6B12" w:rsidRPr="007061E9" w:rsidRDefault="000B2A77" w:rsidP="007061E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Di seguito </w:t>
      </w:r>
      <w:r w:rsidR="00423F90">
        <w:rPr>
          <w:rFonts w:eastAsia="Times New Roman"/>
          <w:color w:val="000000"/>
        </w:rPr>
        <w:t>vengono ripor</w:t>
      </w:r>
      <w:r w:rsidR="00A9486F">
        <w:rPr>
          <w:rFonts w:eastAsia="Times New Roman"/>
          <w:color w:val="000000"/>
        </w:rPr>
        <w:t>tati esempi rappresentativi di</w:t>
      </w:r>
      <w:r w:rsidR="00423F90">
        <w:rPr>
          <w:rFonts w:eastAsia="Times New Roman"/>
          <w:color w:val="000000"/>
        </w:rPr>
        <w:t xml:space="preserve"> errori</w:t>
      </w:r>
      <w:r w:rsidR="00A9486F">
        <w:rPr>
          <w:rFonts w:eastAsia="Times New Roman"/>
          <w:color w:val="000000"/>
        </w:rPr>
        <w:t xml:space="preserve"> di contenuto (consegna ambigua), </w:t>
      </w:r>
      <w:r w:rsidR="00423F90">
        <w:rPr>
          <w:rFonts w:eastAsia="Times New Roman"/>
          <w:color w:val="000000"/>
        </w:rPr>
        <w:t>.</w:t>
      </w:r>
    </w:p>
    <w:p w14:paraId="19097F2D" w14:textId="2EBCDB84" w:rsidR="006E6F23" w:rsidRPr="006B6602" w:rsidRDefault="006E6F23" w:rsidP="007061E9">
      <w:pPr>
        <w:pStyle w:val="Titolo3"/>
        <w:numPr>
          <w:ilvl w:val="1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B6602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Consegna ambigua</w:t>
      </w:r>
    </w:p>
    <w:p w14:paraId="249F1A2A" w14:textId="2D669FBC" w:rsidR="00313FC9" w:rsidRDefault="009B3F8B" w:rsidP="00313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iCs/>
          <w:noProof/>
        </w:rPr>
      </w:pPr>
      <w:r w:rsidRPr="006157DF">
        <w:rPr>
          <w:i/>
          <w:iCs/>
          <w:noProof/>
        </w:rPr>
        <w:drawing>
          <wp:anchor distT="0" distB="0" distL="114300" distR="114300" simplePos="0" relativeHeight="251691008" behindDoc="0" locked="0" layoutInCell="1" allowOverlap="1" wp14:anchorId="221AF9D9" wp14:editId="67139D64">
            <wp:simplePos x="0" y="0"/>
            <wp:positionH relativeFrom="column">
              <wp:posOffset>1273810</wp:posOffset>
            </wp:positionH>
            <wp:positionV relativeFrom="paragraph">
              <wp:posOffset>1403350</wp:posOffset>
            </wp:positionV>
            <wp:extent cx="3771900" cy="2258695"/>
            <wp:effectExtent l="25400" t="25400" r="38100" b="27305"/>
            <wp:wrapTopAndBottom/>
            <wp:docPr id="366320561" name="Immagine 1" descr="Immagine che contiene diagramma, schizzo, Disegno tecnico, Pi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20561" name="Immagine 1" descr="Immagine che contiene diagramma, schizzo, Disegno tecnico, Piano&#10;&#10;Descrizione generata automa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8" r="4457" b="6679"/>
                    <a:stretch/>
                  </pic:blipFill>
                  <pic:spPr bwMode="auto">
                    <a:xfrm>
                      <a:off x="0" y="0"/>
                      <a:ext cx="3771900" cy="22586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23D">
        <w:rPr>
          <w:rFonts w:eastAsia="Times New Roman"/>
          <w:color w:val="000000"/>
        </w:rPr>
        <w:t>In una</w:t>
      </w:r>
      <w:r w:rsidR="00313FC9" w:rsidRPr="006B6602">
        <w:rPr>
          <w:rFonts w:eastAsia="Times New Roman"/>
          <w:color w:val="000000"/>
        </w:rPr>
        <w:t xml:space="preserve"> </w:t>
      </w:r>
      <w:r w:rsidR="00C22086">
        <w:rPr>
          <w:rFonts w:eastAsia="Times New Roman"/>
          <w:color w:val="000000"/>
        </w:rPr>
        <w:t>prova carta-e-matita di classe I (</w:t>
      </w:r>
      <w:r w:rsidR="00313FC9" w:rsidRPr="006B6602">
        <w:rPr>
          <w:rFonts w:eastAsia="Times New Roman"/>
          <w:color w:val="000000"/>
        </w:rPr>
        <w:t>Figura 1</w:t>
      </w:r>
      <w:r w:rsidR="00C22086">
        <w:rPr>
          <w:rFonts w:eastAsia="Times New Roman"/>
          <w:color w:val="000000"/>
        </w:rPr>
        <w:t>)</w:t>
      </w:r>
      <w:r w:rsidR="00313FC9" w:rsidRPr="006B6602">
        <w:rPr>
          <w:rFonts w:eastAsia="Times New Roman"/>
          <w:color w:val="000000"/>
        </w:rPr>
        <w:t xml:space="preserve"> la consegna chiede di «colorare le figure geometriche così come richiesto» </w:t>
      </w:r>
      <w:r w:rsidR="00C22086">
        <w:rPr>
          <w:rFonts w:eastAsia="Times New Roman"/>
          <w:color w:val="000000"/>
        </w:rPr>
        <w:t xml:space="preserve">senza tuttavia che </w:t>
      </w:r>
      <w:r w:rsidR="00313FC9" w:rsidRPr="006B6602">
        <w:rPr>
          <w:rFonts w:eastAsia="Times New Roman"/>
          <w:color w:val="000000"/>
        </w:rPr>
        <w:t xml:space="preserve">vengono date </w:t>
      </w:r>
      <w:r w:rsidR="00C22086">
        <w:rPr>
          <w:rFonts w:eastAsia="Times New Roman"/>
          <w:color w:val="000000"/>
        </w:rPr>
        <w:t xml:space="preserve">indicazioni sulla scelta del colore. Tale formulazione della consegna implica che lo studente debba </w:t>
      </w:r>
      <w:r w:rsidR="00313FC9" w:rsidRPr="006B6602">
        <w:rPr>
          <w:rFonts w:eastAsia="Times New Roman"/>
          <w:color w:val="000000"/>
        </w:rPr>
        <w:t xml:space="preserve">scegliere </w:t>
      </w:r>
      <w:r w:rsidR="00C22086">
        <w:rPr>
          <w:rFonts w:eastAsia="Times New Roman"/>
          <w:color w:val="000000"/>
        </w:rPr>
        <w:t xml:space="preserve">autonomamente </w:t>
      </w:r>
      <w:r w:rsidR="00313FC9" w:rsidRPr="006B6602">
        <w:rPr>
          <w:rFonts w:eastAsia="Times New Roman"/>
          <w:color w:val="000000"/>
        </w:rPr>
        <w:t xml:space="preserve">un colore e </w:t>
      </w:r>
      <w:r w:rsidR="00C22086">
        <w:rPr>
          <w:rFonts w:eastAsia="Times New Roman"/>
          <w:color w:val="000000"/>
        </w:rPr>
        <w:t>ricorrervi per identificate le</w:t>
      </w:r>
      <w:r w:rsidR="00313FC9" w:rsidRPr="006B6602">
        <w:rPr>
          <w:rFonts w:eastAsia="Times New Roman"/>
          <w:color w:val="000000"/>
        </w:rPr>
        <w:t xml:space="preserve"> </w:t>
      </w:r>
      <w:r w:rsidR="00C22086">
        <w:rPr>
          <w:rFonts w:eastAsia="Times New Roman"/>
          <w:color w:val="000000"/>
        </w:rPr>
        <w:t xml:space="preserve">stesse </w:t>
      </w:r>
      <w:r w:rsidR="00313FC9" w:rsidRPr="006B6602">
        <w:rPr>
          <w:rFonts w:eastAsia="Times New Roman"/>
          <w:color w:val="000000"/>
        </w:rPr>
        <w:t xml:space="preserve">figure geometriche. </w:t>
      </w:r>
      <w:r w:rsidR="00C22086">
        <w:rPr>
          <w:rFonts w:eastAsia="Times New Roman"/>
          <w:color w:val="000000"/>
        </w:rPr>
        <w:t>A</w:t>
      </w:r>
      <w:r w:rsidR="00313FC9" w:rsidRPr="006B6602">
        <w:rPr>
          <w:rFonts w:eastAsia="Times New Roman"/>
          <w:color w:val="000000"/>
        </w:rPr>
        <w:t>lcuni studenti potrebbero avere delle difficoltà nel completare la prova senza ulteriori spiegazioni del docente.</w:t>
      </w:r>
      <w:r w:rsidR="00FE2846" w:rsidRPr="00FE2846">
        <w:rPr>
          <w:i/>
          <w:iCs/>
          <w:noProof/>
        </w:rPr>
        <w:t xml:space="preserve"> </w:t>
      </w:r>
    </w:p>
    <w:p w14:paraId="4B3AD4AF" w14:textId="4F584AD2" w:rsidR="00423F90" w:rsidRPr="00423F90" w:rsidRDefault="00423F90" w:rsidP="00EE0A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 w:rsidRPr="009B3F8B">
        <w:rPr>
          <w:iCs/>
          <w:noProof/>
          <w:sz w:val="20"/>
          <w:szCs w:val="20"/>
        </w:rPr>
        <w:t>Figura 1 – Prova carta-e-matita, consegna ambigua</w:t>
      </w:r>
    </w:p>
    <w:p w14:paraId="43386E62" w14:textId="2346B3E1" w:rsidR="00867AC8" w:rsidRDefault="00044F93" w:rsidP="007D5504">
      <w:pPr>
        <w:pStyle w:val="TesiNormale"/>
        <w:spacing w:after="0"/>
      </w:pPr>
      <w:r>
        <w:rPr>
          <w:noProof/>
        </w:rPr>
        <w:t>In una</w:t>
      </w:r>
      <w:r w:rsidR="00423F90">
        <w:rPr>
          <w:color w:val="000000"/>
        </w:rPr>
        <w:t xml:space="preserve"> prova tratta dal </w:t>
      </w:r>
      <w:r w:rsidR="00D66B16" w:rsidRPr="006B6602">
        <w:rPr>
          <w:color w:val="000000"/>
        </w:rPr>
        <w:t>libro di testo</w:t>
      </w:r>
      <w:r w:rsidR="00F50919" w:rsidRPr="006B6602">
        <w:rPr>
          <w:color w:val="000000"/>
        </w:rPr>
        <w:t xml:space="preserve"> (</w:t>
      </w:r>
      <w:r w:rsidR="007132C0" w:rsidRPr="006B6602">
        <w:t>Figura 5</w:t>
      </w:r>
      <w:r w:rsidR="00F50919" w:rsidRPr="006B6602">
        <w:rPr>
          <w:color w:val="000000"/>
        </w:rPr>
        <w:t>)</w:t>
      </w:r>
      <w:r w:rsidR="004F421F" w:rsidRPr="006B6602">
        <w:rPr>
          <w:color w:val="000000"/>
        </w:rPr>
        <w:t>,</w:t>
      </w:r>
      <w:r w:rsidR="00D66B16" w:rsidRPr="006B6602">
        <w:rPr>
          <w:color w:val="000000"/>
        </w:rPr>
        <w:t xml:space="preserve"> </w:t>
      </w:r>
      <w:r w:rsidR="007D5504" w:rsidRPr="006B6602">
        <w:t xml:space="preserve">l’ambiguità </w:t>
      </w:r>
      <w:r w:rsidR="00D317DF">
        <w:t>risiede in primo luogo</w:t>
      </w:r>
      <w:r w:rsidR="007D5504" w:rsidRPr="006B6602">
        <w:t xml:space="preserve"> </w:t>
      </w:r>
      <w:r w:rsidR="00867AC8">
        <w:t>nella dissonanza del testo rispetto ai supporti iconografici – mentre la consegna indurrebbe l’allievo a contare il numero complessivo di figure all’interno di ciascuno dei riquadri, gli stimoli grafici invece suggeriscono l’operazione cognitiva di discriminare le forme anche in base alla dimensione e di numerarle di conseguenza</w:t>
      </w:r>
      <w:r w:rsidR="00D317DF">
        <w:t>.</w:t>
      </w:r>
    </w:p>
    <w:p w14:paraId="4D4BFDBC" w14:textId="6A6F84DE" w:rsidR="00EE0A94" w:rsidRDefault="004F2257" w:rsidP="00867A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iCs/>
          <w:noProof/>
          <w:sz w:val="20"/>
          <w:szCs w:val="20"/>
        </w:rPr>
      </w:pPr>
      <w:r w:rsidRPr="006B6602">
        <w:rPr>
          <w:noProof/>
        </w:rPr>
        <w:drawing>
          <wp:anchor distT="0" distB="0" distL="114300" distR="114300" simplePos="0" relativeHeight="251676672" behindDoc="0" locked="0" layoutInCell="1" allowOverlap="1" wp14:anchorId="720A1403" wp14:editId="76FA84BF">
            <wp:simplePos x="0" y="0"/>
            <wp:positionH relativeFrom="column">
              <wp:posOffset>1038225</wp:posOffset>
            </wp:positionH>
            <wp:positionV relativeFrom="paragraph">
              <wp:posOffset>64770</wp:posOffset>
            </wp:positionV>
            <wp:extent cx="4351655" cy="1202055"/>
            <wp:effectExtent l="19050" t="19050" r="10795" b="1714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6" t="25006" r="25826" b="51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55" cy="1202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E4B8" w14:textId="77777777" w:rsidR="00EE0A94" w:rsidRDefault="00EE0A94" w:rsidP="00867A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iCs/>
          <w:noProof/>
          <w:sz w:val="20"/>
          <w:szCs w:val="20"/>
        </w:rPr>
      </w:pPr>
    </w:p>
    <w:p w14:paraId="1BC0555E" w14:textId="05424F73" w:rsidR="00EE0A94" w:rsidRDefault="00EE0A94" w:rsidP="00867A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iCs/>
          <w:noProof/>
          <w:sz w:val="20"/>
          <w:szCs w:val="20"/>
        </w:rPr>
      </w:pPr>
    </w:p>
    <w:p w14:paraId="7649A1AE" w14:textId="77777777" w:rsidR="00EE0A94" w:rsidRDefault="00EE0A94" w:rsidP="00867A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iCs/>
          <w:noProof/>
          <w:sz w:val="20"/>
          <w:szCs w:val="20"/>
        </w:rPr>
      </w:pPr>
    </w:p>
    <w:p w14:paraId="01CC96A3" w14:textId="77777777" w:rsidR="00EE0A94" w:rsidRDefault="00EE0A94" w:rsidP="00867A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iCs/>
          <w:noProof/>
          <w:sz w:val="20"/>
          <w:szCs w:val="20"/>
        </w:rPr>
      </w:pPr>
    </w:p>
    <w:p w14:paraId="20BB9999" w14:textId="77777777" w:rsidR="00EE0A94" w:rsidRDefault="00EE0A94" w:rsidP="00867A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iCs/>
          <w:noProof/>
          <w:sz w:val="20"/>
          <w:szCs w:val="20"/>
        </w:rPr>
      </w:pPr>
    </w:p>
    <w:p w14:paraId="198A4D03" w14:textId="5595879B" w:rsidR="00867AC8" w:rsidRPr="00423F90" w:rsidRDefault="00867AC8" w:rsidP="00EE0A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 w:rsidRPr="00952FD6">
        <w:rPr>
          <w:iCs/>
          <w:noProof/>
          <w:sz w:val="20"/>
          <w:szCs w:val="20"/>
        </w:rPr>
        <w:t>Figura 2 – Prova da libro di testo, consegna ambigua</w:t>
      </w:r>
    </w:p>
    <w:p w14:paraId="794C560C" w14:textId="70597136" w:rsidR="00C22086" w:rsidRPr="006B6602" w:rsidRDefault="00D31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</w:rPr>
      </w:pPr>
      <w:r>
        <w:t xml:space="preserve">L’ambiguità </w:t>
      </w:r>
      <w:r w:rsidRPr="006B6602">
        <w:t>risiede</w:t>
      </w:r>
      <w:r>
        <w:t xml:space="preserve"> anche nella terminologia: la</w:t>
      </w:r>
      <w:r w:rsidRPr="006B6602">
        <w:t xml:space="preserve"> formula “in tutto”</w:t>
      </w:r>
      <w:r>
        <w:t xml:space="preserve"> è tipica</w:t>
      </w:r>
      <w:r w:rsidRPr="006B6602">
        <w:t xml:space="preserve"> del </w:t>
      </w:r>
      <w:r>
        <w:t>“</w:t>
      </w:r>
      <w:r w:rsidRPr="006B6602">
        <w:t>contratto didattico</w:t>
      </w:r>
      <w:r>
        <w:t xml:space="preserve">” (Sbaragli, 2012) dei problemi matematici e suggerisce l’operazione cognitiva della somma totale di elementi; il </w:t>
      </w:r>
      <w:r>
        <w:rPr>
          <w:rFonts w:eastAsia="Times New Roman"/>
          <w:color w:val="000000"/>
        </w:rPr>
        <w:t>termine ‘figura’, da intendere come ‘ente geometrico’, è altra cosa dalla rappresentazione di essa, ossia un</w:t>
      </w:r>
      <w:r w:rsidRPr="006B6602">
        <w:rPr>
          <w:rFonts w:eastAsia="Times New Roman"/>
          <w:color w:val="000000"/>
        </w:rPr>
        <w:t xml:space="preserve"> oggetto che richiama graficamente l’ente geometrico e ne mostra alcune caratteristiche</w:t>
      </w:r>
      <w:r>
        <w:rPr>
          <w:rFonts w:eastAsia="Times New Roman"/>
          <w:color w:val="000000"/>
        </w:rPr>
        <w:t xml:space="preserve"> (Sbaragli, 2006</w:t>
      </w:r>
      <w:r w:rsidRPr="00502956">
        <w:rPr>
          <w:rFonts w:eastAsia="Times New Roman"/>
          <w:color w:val="000000"/>
        </w:rPr>
        <w:t>).</w:t>
      </w:r>
      <w:r w:rsidR="003B7CD0" w:rsidRPr="00502956">
        <w:rPr>
          <w:rFonts w:eastAsia="Times New Roman"/>
          <w:color w:val="000000"/>
        </w:rPr>
        <w:t xml:space="preserve"> </w:t>
      </w:r>
    </w:p>
    <w:p w14:paraId="33A91FE1" w14:textId="75BAD9EB" w:rsidR="00D66B16" w:rsidRPr="006B6602" w:rsidRDefault="007061E9" w:rsidP="007061E9">
      <w:pPr>
        <w:pStyle w:val="Titolo3"/>
        <w:numPr>
          <w:ilvl w:val="1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I</w:t>
      </w:r>
      <w:r w:rsidR="00D66B16" w:rsidRPr="006B6602">
        <w:rPr>
          <w:rFonts w:ascii="Times New Roman" w:hAnsi="Times New Roman" w:cs="Times New Roman"/>
          <w:i/>
          <w:iCs/>
          <w:sz w:val="24"/>
          <w:szCs w:val="24"/>
        </w:rPr>
        <w:t xml:space="preserve">tem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non </w:t>
      </w:r>
      <w:r w:rsidR="00A9486F">
        <w:rPr>
          <w:rFonts w:ascii="Times New Roman" w:hAnsi="Times New Roman" w:cs="Times New Roman"/>
          <w:i/>
          <w:iCs/>
          <w:sz w:val="24"/>
          <w:szCs w:val="24"/>
        </w:rPr>
        <w:t>allineati all’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obiettivo </w:t>
      </w:r>
      <w:r w:rsidR="00BF25E4">
        <w:rPr>
          <w:rFonts w:ascii="Times New Roman" w:hAnsi="Times New Roman" w:cs="Times New Roman"/>
          <w:i/>
          <w:iCs/>
          <w:sz w:val="24"/>
          <w:szCs w:val="24"/>
        </w:rPr>
        <w:t>di apprendimento</w:t>
      </w:r>
    </w:p>
    <w:p w14:paraId="6C0E2FE6" w14:textId="36FA5403" w:rsidR="007D5504" w:rsidRPr="006B6602" w:rsidRDefault="00044F93" w:rsidP="004E329E">
      <w:pPr>
        <w:pStyle w:val="TesiNormale"/>
        <w:spacing w:before="240" w:after="0"/>
      </w:pPr>
      <w:r>
        <w:t>L</w:t>
      </w:r>
      <w:r w:rsidR="007D5504" w:rsidRPr="006B6602">
        <w:t xml:space="preserve">a correttezza </w:t>
      </w:r>
      <w:r>
        <w:t>di una</w:t>
      </w:r>
      <w:r w:rsidR="007D5504" w:rsidRPr="006B6602">
        <w:t xml:space="preserve"> prova di valutazione </w:t>
      </w:r>
      <w:r>
        <w:t xml:space="preserve">risiede principalmente nella coerenza rispetto </w:t>
      </w:r>
      <w:r w:rsidR="007D5504" w:rsidRPr="006B6602">
        <w:t xml:space="preserve">agli obiettivi </w:t>
      </w:r>
      <w:r>
        <w:t>di apprendimento che</w:t>
      </w:r>
      <w:r w:rsidR="00502956">
        <w:t>,</w:t>
      </w:r>
      <w:r>
        <w:t xml:space="preserve"> </w:t>
      </w:r>
      <w:r w:rsidR="00502956">
        <w:t>per mezzo di</w:t>
      </w:r>
      <w:r>
        <w:t xml:space="preserve"> essa</w:t>
      </w:r>
      <w:r w:rsidR="00502956">
        <w:t>,</w:t>
      </w:r>
      <w:r>
        <w:t xml:space="preserve"> il docente intende </w:t>
      </w:r>
      <w:r w:rsidR="007D5504" w:rsidRPr="006B6602">
        <w:t>valutare.</w:t>
      </w:r>
      <w:r>
        <w:t xml:space="preserve"> Alcune delle prove analizzate</w:t>
      </w:r>
      <w:r w:rsidR="004E329E" w:rsidRPr="006B6602">
        <w:t xml:space="preserve"> presentano delle richieste incoerenti con gli apprendimenti che, </w:t>
      </w:r>
      <w:r>
        <w:t>nelle intenzioni</w:t>
      </w:r>
      <w:r w:rsidR="004E329E" w:rsidRPr="006B6602">
        <w:t xml:space="preserve">, </w:t>
      </w:r>
      <w:r w:rsidR="00954749" w:rsidRPr="006B6602">
        <w:t>lo strumento</w:t>
      </w:r>
      <w:r w:rsidR="004E329E" w:rsidRPr="006B6602">
        <w:t xml:space="preserve"> aveva lo scopo di valutare. </w:t>
      </w:r>
    </w:p>
    <w:p w14:paraId="775088BB" w14:textId="340B72E6" w:rsidR="007D5504" w:rsidRDefault="00F3384B" w:rsidP="007D5504">
      <w:pPr>
        <w:pStyle w:val="TesiNormale"/>
        <w:spacing w:after="0"/>
        <w:rPr>
          <w:noProof/>
        </w:rPr>
      </w:pPr>
      <w:r>
        <w:rPr>
          <w:noProof/>
        </w:rPr>
        <w:t>La</w:t>
      </w:r>
      <w:r w:rsidR="003B7CD0">
        <w:rPr>
          <w:color w:val="000000"/>
        </w:rPr>
        <w:t xml:space="preserve"> prova tratta dal </w:t>
      </w:r>
      <w:r w:rsidR="003B7CD0" w:rsidRPr="006B6602">
        <w:rPr>
          <w:color w:val="000000"/>
        </w:rPr>
        <w:t xml:space="preserve">libro di testo </w:t>
      </w:r>
      <w:r w:rsidR="001D447C">
        <w:rPr>
          <w:color w:val="000000"/>
        </w:rPr>
        <w:t xml:space="preserve">di </w:t>
      </w:r>
      <w:r w:rsidR="003B7CD0">
        <w:t>Figura 3</w:t>
      </w:r>
      <w:r>
        <w:rPr>
          <w:color w:val="000000"/>
        </w:rPr>
        <w:t xml:space="preserve"> è presente nel capitolo </w:t>
      </w:r>
      <w:r>
        <w:t>“Riconoscimento di figure” e associata al</w:t>
      </w:r>
      <w:r w:rsidRPr="006B6602">
        <w:t xml:space="preserve">l’obiettivo di apprendimento </w:t>
      </w:r>
      <w:r>
        <w:t>“</w:t>
      </w:r>
      <w:r w:rsidRPr="006B6602">
        <w:t>riconoscere, denominare e descrivere figure geometriche</w:t>
      </w:r>
      <w:r>
        <w:t>” (MIUR, 2012, p. 62)</w:t>
      </w:r>
      <w:r w:rsidRPr="006B6602">
        <w:t>.</w:t>
      </w:r>
      <w:r w:rsidR="00AC27F7">
        <w:t xml:space="preserve"> Il </w:t>
      </w:r>
      <w:r w:rsidR="00AC27F7">
        <w:rPr>
          <w:color w:val="000000"/>
        </w:rPr>
        <w:t xml:space="preserve">quesito e </w:t>
      </w:r>
      <w:r>
        <w:rPr>
          <w:color w:val="000000"/>
        </w:rPr>
        <w:t xml:space="preserve">gli stimoli </w:t>
      </w:r>
      <w:r w:rsidR="001D447C">
        <w:rPr>
          <w:color w:val="000000"/>
        </w:rPr>
        <w:t>grafico-iconici</w:t>
      </w:r>
      <w:r w:rsidR="00AC27F7">
        <w:rPr>
          <w:color w:val="000000"/>
        </w:rPr>
        <w:t xml:space="preserve"> sarebbero, invece, associabili all’</w:t>
      </w:r>
      <w:r w:rsidR="00AC27F7">
        <w:t>ob</w:t>
      </w:r>
      <w:r w:rsidR="007D5504" w:rsidRPr="006B6602">
        <w:t>biettivo di apprendimento</w:t>
      </w:r>
      <w:r w:rsidR="00563770">
        <w:t>: “c</w:t>
      </w:r>
      <w:r w:rsidR="007D5504" w:rsidRPr="006B6602">
        <w:t>omunicare la posizione di oggetti nello spazio fisico, sia rispetto al soggetto, sia rispetto ad altre persone o og</w:t>
      </w:r>
      <w:r w:rsidR="00AC27F7">
        <w:t>getti, usando termini adeguati</w:t>
      </w:r>
      <w:r w:rsidR="00563770">
        <w:t>” (MIUR, 2012, p. 61)</w:t>
      </w:r>
      <w:r w:rsidR="00EE0A94">
        <w:t>.</w:t>
      </w:r>
      <w:r w:rsidR="00EE0A94" w:rsidRPr="00EE0A94">
        <w:rPr>
          <w:noProof/>
        </w:rPr>
        <w:t xml:space="preserve"> </w:t>
      </w:r>
    </w:p>
    <w:p w14:paraId="6A460301" w14:textId="5E353612" w:rsidR="00EE0A94" w:rsidRDefault="00EE0A94" w:rsidP="007D5504">
      <w:pPr>
        <w:pStyle w:val="TesiNormale"/>
        <w:spacing w:after="0"/>
        <w:rPr>
          <w:noProof/>
        </w:rPr>
      </w:pPr>
      <w:r w:rsidRPr="006B6602">
        <w:rPr>
          <w:noProof/>
        </w:rPr>
        <w:drawing>
          <wp:anchor distT="0" distB="0" distL="114300" distR="114300" simplePos="0" relativeHeight="251688960" behindDoc="0" locked="0" layoutInCell="1" hidden="0" allowOverlap="1" wp14:anchorId="6EBB8D4D" wp14:editId="2CB9710A">
            <wp:simplePos x="0" y="0"/>
            <wp:positionH relativeFrom="column">
              <wp:posOffset>1616710</wp:posOffset>
            </wp:positionH>
            <wp:positionV relativeFrom="paragraph">
              <wp:posOffset>3175</wp:posOffset>
            </wp:positionV>
            <wp:extent cx="2941955" cy="1717040"/>
            <wp:effectExtent l="25400" t="25400" r="29845" b="35560"/>
            <wp:wrapSquare wrapText="bothSides" distT="0" distB="0" distL="114300" distR="11430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l="19417" t="33838" r="20537" b="10302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71704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23826" w14:textId="6142E417" w:rsidR="00EE0A94" w:rsidRDefault="00EE0A94" w:rsidP="007D5504">
      <w:pPr>
        <w:pStyle w:val="TesiNormale"/>
        <w:spacing w:after="0"/>
        <w:rPr>
          <w:noProof/>
        </w:rPr>
      </w:pPr>
    </w:p>
    <w:p w14:paraId="6A90F7CC" w14:textId="033B368C" w:rsidR="00EE0A94" w:rsidRDefault="00EE0A94" w:rsidP="007D5504">
      <w:pPr>
        <w:pStyle w:val="TesiNormale"/>
        <w:spacing w:after="0"/>
        <w:rPr>
          <w:noProof/>
        </w:rPr>
      </w:pPr>
    </w:p>
    <w:p w14:paraId="567F3FD3" w14:textId="16B60DC4" w:rsidR="00EE0A94" w:rsidRDefault="00EE0A94" w:rsidP="007D5504">
      <w:pPr>
        <w:pStyle w:val="TesiNormale"/>
        <w:spacing w:after="0"/>
        <w:rPr>
          <w:noProof/>
        </w:rPr>
      </w:pPr>
    </w:p>
    <w:p w14:paraId="6D4E60BC" w14:textId="77777777" w:rsidR="00EE0A94" w:rsidRDefault="00EE0A94" w:rsidP="007D5504">
      <w:pPr>
        <w:pStyle w:val="TesiNormale"/>
        <w:spacing w:after="0"/>
        <w:rPr>
          <w:noProof/>
        </w:rPr>
      </w:pPr>
    </w:p>
    <w:p w14:paraId="49801329" w14:textId="77777777" w:rsidR="00EE0A94" w:rsidRDefault="00EE0A94" w:rsidP="007D5504">
      <w:pPr>
        <w:pStyle w:val="TesiNormale"/>
        <w:spacing w:after="0"/>
        <w:rPr>
          <w:noProof/>
        </w:rPr>
      </w:pPr>
    </w:p>
    <w:p w14:paraId="516BE86E" w14:textId="77777777" w:rsidR="00EE0A94" w:rsidRDefault="00EE0A94" w:rsidP="007D5504">
      <w:pPr>
        <w:pStyle w:val="TesiNormale"/>
        <w:spacing w:after="0"/>
        <w:rPr>
          <w:noProof/>
        </w:rPr>
      </w:pPr>
    </w:p>
    <w:p w14:paraId="62C3048A" w14:textId="4C3BA64C" w:rsidR="00EE0A94" w:rsidRPr="0044362A" w:rsidRDefault="00EE0A94" w:rsidP="004436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 w:rsidRPr="00952FD6">
        <w:rPr>
          <w:iCs/>
          <w:noProof/>
          <w:sz w:val="20"/>
          <w:szCs w:val="20"/>
        </w:rPr>
        <w:t xml:space="preserve">Figura 3 – Prova </w:t>
      </w:r>
      <w:r w:rsidR="00903EC6" w:rsidRPr="00952FD6">
        <w:rPr>
          <w:iCs/>
          <w:noProof/>
          <w:sz w:val="20"/>
          <w:szCs w:val="20"/>
        </w:rPr>
        <w:t xml:space="preserve">tratta </w:t>
      </w:r>
      <w:r w:rsidRPr="00952FD6">
        <w:rPr>
          <w:iCs/>
          <w:noProof/>
          <w:sz w:val="20"/>
          <w:szCs w:val="20"/>
        </w:rPr>
        <w:t xml:space="preserve">da libro di testo, </w:t>
      </w:r>
      <w:r w:rsidR="001D447C" w:rsidRPr="00952FD6">
        <w:rPr>
          <w:iCs/>
          <w:noProof/>
          <w:sz w:val="20"/>
          <w:szCs w:val="20"/>
        </w:rPr>
        <w:t>item non allineato all’</w:t>
      </w:r>
      <w:r w:rsidRPr="00952FD6">
        <w:rPr>
          <w:iCs/>
          <w:noProof/>
          <w:sz w:val="20"/>
          <w:szCs w:val="20"/>
        </w:rPr>
        <w:t>obiettivo di apprendimento</w:t>
      </w:r>
    </w:p>
    <w:p w14:paraId="091ACCD0" w14:textId="6C09F1E9" w:rsidR="00BF25E4" w:rsidRPr="00502956" w:rsidRDefault="00EE0A94" w:rsidP="00502956">
      <w:pPr>
        <w:pStyle w:val="TesiNormale"/>
        <w:spacing w:after="0"/>
      </w:pPr>
      <w:r>
        <w:t>La prova carta-e</w:t>
      </w:r>
      <w:r w:rsidR="00666CCA">
        <w:t>-matita di Figura 4 presenta un’</w:t>
      </w:r>
      <w:r>
        <w:t xml:space="preserve">incongruenza </w:t>
      </w:r>
      <w:r w:rsidR="00BF25E4">
        <w:t xml:space="preserve">simile </w:t>
      </w:r>
      <w:r>
        <w:t>tra formulazione della prova-obiettivo di apprendimento da valutare</w:t>
      </w:r>
      <w:r w:rsidR="00666CCA">
        <w:t>. Questa</w:t>
      </w:r>
      <w:r w:rsidR="00BF25E4">
        <w:t xml:space="preserve">, tuttavia, </w:t>
      </w:r>
      <w:r w:rsidR="00666CCA">
        <w:t xml:space="preserve">presenta </w:t>
      </w:r>
      <w:r w:rsidR="00BF25E4">
        <w:t>un elemento di complessità legat</w:t>
      </w:r>
      <w:r w:rsidR="00666CCA">
        <w:t>o alla formulazione dello stimolo</w:t>
      </w:r>
      <w:r>
        <w:t>. La prova, oltre al riconoscimento delle figure, implica da parte del rispondente un’ulteriore operazione logica</w:t>
      </w:r>
      <w:r w:rsidR="00666CCA">
        <w:t xml:space="preserve">, legata alla </w:t>
      </w:r>
      <w:r w:rsidR="00BF25E4">
        <w:t>competenza linguistica</w:t>
      </w:r>
      <w:r>
        <w:t xml:space="preserve"> – la </w:t>
      </w:r>
      <w:r w:rsidR="00BF25E4">
        <w:t>corretta inferenza di significati all’interno delle frasi in cui compaiono</w:t>
      </w:r>
      <w:r>
        <w:t xml:space="preserve"> </w:t>
      </w:r>
      <w:r w:rsidR="00BF25E4">
        <w:t>aggettivi indefiniti (</w:t>
      </w:r>
      <w:r>
        <w:t>‘qualche’, ‘nessuna’, ‘tutte’</w:t>
      </w:r>
      <w:r w:rsidR="00BF25E4">
        <w:t xml:space="preserve">, ‘almeno’) – che, </w:t>
      </w:r>
      <w:r w:rsidR="00467E57">
        <w:t>tuttavia</w:t>
      </w:r>
      <w:r w:rsidR="001D447C">
        <w:t>, non viene valutata nella situazione valutativa predisposta</w:t>
      </w:r>
      <w:r w:rsidR="00BF25E4">
        <w:t>.</w:t>
      </w:r>
    </w:p>
    <w:p w14:paraId="642FF0D9" w14:textId="3B2C8EF3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  <w:r w:rsidRPr="006B6602">
        <w:rPr>
          <w:noProof/>
        </w:rPr>
        <w:drawing>
          <wp:anchor distT="0" distB="0" distL="114300" distR="114300" simplePos="0" relativeHeight="251679744" behindDoc="0" locked="0" layoutInCell="1" allowOverlap="1" wp14:anchorId="2DB32AF4" wp14:editId="2E77C632">
            <wp:simplePos x="0" y="0"/>
            <wp:positionH relativeFrom="margin">
              <wp:posOffset>1620520</wp:posOffset>
            </wp:positionH>
            <wp:positionV relativeFrom="paragraph">
              <wp:posOffset>25400</wp:posOffset>
            </wp:positionV>
            <wp:extent cx="3035935" cy="1602740"/>
            <wp:effectExtent l="25400" t="25400" r="37465" b="2286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9" t="70045" r="38675" b="7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602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791E5" w14:textId="77777777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</w:p>
    <w:p w14:paraId="54E4C898" w14:textId="77777777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</w:p>
    <w:p w14:paraId="67F05738" w14:textId="77777777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</w:p>
    <w:p w14:paraId="0A4EDDAF" w14:textId="77777777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</w:p>
    <w:p w14:paraId="0E9B29FD" w14:textId="77777777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</w:p>
    <w:p w14:paraId="71A69737" w14:textId="4B8151D1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Cs/>
          <w:noProof/>
          <w:sz w:val="20"/>
          <w:szCs w:val="20"/>
        </w:rPr>
      </w:pPr>
    </w:p>
    <w:p w14:paraId="56BC27C9" w14:textId="77777777" w:rsidR="00BF25E4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Cs/>
          <w:noProof/>
          <w:sz w:val="20"/>
          <w:szCs w:val="20"/>
        </w:rPr>
      </w:pPr>
    </w:p>
    <w:p w14:paraId="1D24E3BA" w14:textId="6267AABE" w:rsidR="00BF25E4" w:rsidRPr="00423F90" w:rsidRDefault="00BF25E4" w:rsidP="00BF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 w:rsidRPr="00952FD6">
        <w:rPr>
          <w:iCs/>
          <w:noProof/>
          <w:sz w:val="20"/>
          <w:szCs w:val="20"/>
        </w:rPr>
        <w:t>Figura 4 – Prova carta-e-matita, item non coerente con obiettivo di apprendimento</w:t>
      </w:r>
    </w:p>
    <w:p w14:paraId="706929D0" w14:textId="77777777" w:rsidR="00EE0A94" w:rsidRDefault="00EE0A94" w:rsidP="00F815BE">
      <w:pPr>
        <w:pStyle w:val="TesiNormale"/>
        <w:spacing w:after="0"/>
        <w:rPr>
          <w:b/>
        </w:rPr>
      </w:pPr>
    </w:p>
    <w:p w14:paraId="28803045" w14:textId="77777777" w:rsidR="005D26AA" w:rsidRPr="007061E9" w:rsidRDefault="005D26AA" w:rsidP="00F815BE">
      <w:pPr>
        <w:pStyle w:val="TesiNormale"/>
        <w:spacing w:after="0"/>
        <w:rPr>
          <w:b/>
        </w:rPr>
      </w:pPr>
    </w:p>
    <w:p w14:paraId="5D97E645" w14:textId="241A277B" w:rsidR="007061E9" w:rsidRPr="00F016A3" w:rsidRDefault="00A9486F" w:rsidP="007061E9">
      <w:pPr>
        <w:pStyle w:val="TesiNormale"/>
        <w:numPr>
          <w:ilvl w:val="1"/>
          <w:numId w:val="15"/>
        </w:numPr>
        <w:spacing w:after="0"/>
        <w:rPr>
          <w:b/>
          <w:i/>
        </w:rPr>
      </w:pPr>
      <w:r>
        <w:rPr>
          <w:b/>
          <w:i/>
        </w:rPr>
        <w:lastRenderedPageBreak/>
        <w:t xml:space="preserve">Referenti grafico-iconici </w:t>
      </w:r>
      <w:r w:rsidR="007061E9" w:rsidRPr="00F016A3">
        <w:rPr>
          <w:b/>
          <w:i/>
        </w:rPr>
        <w:t>non adeguati</w:t>
      </w:r>
    </w:p>
    <w:p w14:paraId="4BDAA736" w14:textId="77E17190" w:rsidR="00267A4D" w:rsidRPr="00267A4D" w:rsidRDefault="00267A4D" w:rsidP="00267A4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eastAsia="Times New Roman"/>
          <w:color w:val="000000"/>
          <w:highlight w:val="green"/>
        </w:rPr>
      </w:pPr>
      <w:r w:rsidRPr="006A2966">
        <w:rPr>
          <w:rFonts w:eastAsia="Times New Roman"/>
          <w:noProof/>
          <w:color w:val="000000"/>
        </w:rPr>
        <w:drawing>
          <wp:anchor distT="0" distB="0" distL="114300" distR="114300" simplePos="0" relativeHeight="251693056" behindDoc="0" locked="0" layoutInCell="1" allowOverlap="1" wp14:anchorId="6E0F4B76" wp14:editId="76F2F9B0">
            <wp:simplePos x="0" y="0"/>
            <wp:positionH relativeFrom="column">
              <wp:posOffset>1954530</wp:posOffset>
            </wp:positionH>
            <wp:positionV relativeFrom="paragraph">
              <wp:posOffset>2038350</wp:posOffset>
            </wp:positionV>
            <wp:extent cx="2340610" cy="3010535"/>
            <wp:effectExtent l="19050" t="19050" r="21590" b="18415"/>
            <wp:wrapTopAndBottom/>
            <wp:docPr id="1306822548" name="Immagine 1" descr="Immagine che contiene diagramma, testo, linea, Pi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22548" name="Immagine 1" descr="Immagine che contiene diagramma, testo, linea, Piano&#10;&#10;Descrizione generat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010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7F2">
        <w:rPr>
          <w:rFonts w:eastAsia="Times New Roman"/>
          <w:color w:val="000000"/>
        </w:rPr>
        <w:t xml:space="preserve">L’analisi ha rilevato la </w:t>
      </w:r>
      <w:r w:rsidR="00F815BE" w:rsidRPr="006B6602">
        <w:rPr>
          <w:rFonts w:eastAsia="Times New Roman"/>
          <w:color w:val="000000"/>
        </w:rPr>
        <w:t>presenza di referenti geometrici non adeguati all’interno delle prove</w:t>
      </w:r>
      <w:r w:rsidR="008F57F2">
        <w:rPr>
          <w:rFonts w:eastAsia="Times New Roman"/>
          <w:color w:val="000000"/>
        </w:rPr>
        <w:t xml:space="preserve">, come la </w:t>
      </w:r>
      <w:r w:rsidR="008F57F2" w:rsidRPr="006B6602">
        <w:rPr>
          <w:rFonts w:eastAsia="Times New Roman"/>
          <w:color w:val="000000"/>
        </w:rPr>
        <w:t>rappresentazione di figure, piane e solide, in posizioni prototipiche (ossia parallele ai lati del foglio) che possono impedire agli studenti di comprendere a pieno le caratteristiche e proprietà degli enti geometrici.</w:t>
      </w:r>
      <w:r w:rsidR="008F57F2">
        <w:rPr>
          <w:rFonts w:eastAsia="Times New Roman"/>
          <w:color w:val="000000"/>
        </w:rPr>
        <w:t xml:space="preserve"> Tali rappresentazioni prototipiche sono definite dalla ricerca come </w:t>
      </w:r>
      <w:r w:rsidR="00F815BE" w:rsidRPr="006B6602">
        <w:rPr>
          <w:rFonts w:eastAsia="Times New Roman"/>
          <w:color w:val="000000"/>
        </w:rPr>
        <w:t xml:space="preserve">precursori di </w:t>
      </w:r>
      <w:r w:rsidR="00563770">
        <w:rPr>
          <w:rFonts w:eastAsia="Times New Roman"/>
          <w:color w:val="000000"/>
        </w:rPr>
        <w:t>“</w:t>
      </w:r>
      <w:r w:rsidR="00F815BE" w:rsidRPr="006B6602">
        <w:rPr>
          <w:rFonts w:eastAsia="Times New Roman"/>
          <w:color w:val="000000"/>
        </w:rPr>
        <w:t>misconcezioni</w:t>
      </w:r>
      <w:r w:rsidR="00563770">
        <w:rPr>
          <w:rFonts w:eastAsia="Times New Roman"/>
          <w:color w:val="000000"/>
        </w:rPr>
        <w:t>”</w:t>
      </w:r>
      <w:r w:rsidR="00F815BE" w:rsidRPr="006B6602">
        <w:rPr>
          <w:rStyle w:val="Rimandonotaapidipagina"/>
          <w:rFonts w:eastAsia="Times New Roman"/>
          <w:color w:val="000000"/>
        </w:rPr>
        <w:footnoteReference w:id="8"/>
      </w:r>
      <w:r w:rsidR="00F815BE" w:rsidRPr="006B6602">
        <w:rPr>
          <w:rFonts w:eastAsia="Times New Roman"/>
          <w:color w:val="000000"/>
        </w:rPr>
        <w:t xml:space="preserve"> negli studenti.</w:t>
      </w:r>
      <w:r w:rsidR="00467E57">
        <w:rPr>
          <w:rFonts w:eastAsia="Times New Roman"/>
          <w:color w:val="000000"/>
        </w:rPr>
        <w:t xml:space="preserve"> </w:t>
      </w:r>
      <w:r w:rsidR="00467E57" w:rsidRPr="00267A4D">
        <w:rPr>
          <w:rFonts w:eastAsia="Times New Roman"/>
          <w:color w:val="000000"/>
        </w:rPr>
        <w:t xml:space="preserve">La prova </w:t>
      </w:r>
      <w:r w:rsidR="00D74F5B">
        <w:rPr>
          <w:rFonts w:eastAsia="Times New Roman"/>
          <w:color w:val="000000"/>
        </w:rPr>
        <w:t>di tipo carta-e-matita</w:t>
      </w:r>
      <w:r w:rsidR="00903EC6" w:rsidRPr="00267A4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di figura 5 </w:t>
      </w:r>
      <w:r w:rsidR="00D74F5B">
        <w:rPr>
          <w:rFonts w:eastAsia="Times New Roman"/>
          <w:color w:val="000000"/>
        </w:rPr>
        <w:t>riporta</w:t>
      </w:r>
      <w:r w:rsidRPr="00267A4D">
        <w:rPr>
          <w:rFonts w:eastAsia="Times New Roman"/>
          <w:color w:val="000000"/>
        </w:rPr>
        <w:t xml:space="preserve"> la rappresentazione di figure solide in posizione prototipica. Tutti e sette i solidi vengono, difatti, rappresentati con la base parallela al foglio.</w:t>
      </w:r>
    </w:p>
    <w:p w14:paraId="6450548F" w14:textId="745FA16E" w:rsidR="00903EC6" w:rsidRPr="00423F90" w:rsidRDefault="00903EC6" w:rsidP="009B3F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 w:rsidRPr="00423F90">
        <w:rPr>
          <w:iCs/>
          <w:noProof/>
          <w:sz w:val="20"/>
          <w:szCs w:val="20"/>
        </w:rPr>
        <w:t>Figura</w:t>
      </w:r>
      <w:r>
        <w:rPr>
          <w:iCs/>
          <w:noProof/>
          <w:sz w:val="20"/>
          <w:szCs w:val="20"/>
        </w:rPr>
        <w:t xml:space="preserve"> 5</w:t>
      </w:r>
      <w:r w:rsidRPr="00423F90">
        <w:rPr>
          <w:iCs/>
          <w:noProof/>
          <w:sz w:val="20"/>
          <w:szCs w:val="20"/>
        </w:rPr>
        <w:t xml:space="preserve"> – Prova </w:t>
      </w:r>
      <w:r w:rsidR="00D74F5B">
        <w:rPr>
          <w:iCs/>
          <w:noProof/>
          <w:sz w:val="20"/>
          <w:szCs w:val="20"/>
        </w:rPr>
        <w:t>carata-e-</w:t>
      </w:r>
      <w:r w:rsidR="00D74F5B" w:rsidRPr="00D74F5B">
        <w:rPr>
          <w:iCs/>
          <w:noProof/>
          <w:sz w:val="20"/>
          <w:szCs w:val="20"/>
        </w:rPr>
        <w:t>matita</w:t>
      </w:r>
      <w:r w:rsidRPr="00D74F5B">
        <w:rPr>
          <w:iCs/>
          <w:noProof/>
          <w:sz w:val="20"/>
          <w:szCs w:val="20"/>
        </w:rPr>
        <w:t>, referente</w:t>
      </w:r>
      <w:r>
        <w:rPr>
          <w:iCs/>
          <w:noProof/>
          <w:sz w:val="20"/>
          <w:szCs w:val="20"/>
        </w:rPr>
        <w:t xml:space="preserve"> grafico-iconico non adeguato</w:t>
      </w:r>
    </w:p>
    <w:p w14:paraId="2B97E860" w14:textId="0136E172" w:rsidR="00267A4D" w:rsidRPr="00267A4D" w:rsidRDefault="00467E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Altra caratteristiche di </w:t>
      </w:r>
      <w:r w:rsidRPr="006B6602">
        <w:rPr>
          <w:rFonts w:eastAsia="Times New Roman"/>
          <w:color w:val="000000"/>
        </w:rPr>
        <w:t xml:space="preserve">non </w:t>
      </w:r>
      <w:r>
        <w:rPr>
          <w:rFonts w:eastAsia="Times New Roman"/>
          <w:color w:val="000000"/>
        </w:rPr>
        <w:t>c</w:t>
      </w:r>
      <w:r w:rsidR="00903EC6">
        <w:rPr>
          <w:rFonts w:eastAsia="Times New Roman"/>
          <w:color w:val="000000"/>
        </w:rPr>
        <w:t>orrettezza degli elementi grafico-iconici</w:t>
      </w:r>
      <w:r w:rsidR="006F47B1" w:rsidRPr="006B660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integrati nelle prove è la</w:t>
      </w:r>
      <w:r w:rsidRPr="006B660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“</w:t>
      </w:r>
      <w:r w:rsidRPr="006B6602">
        <w:rPr>
          <w:rFonts w:eastAsia="Times New Roman"/>
          <w:color w:val="000000"/>
        </w:rPr>
        <w:t xml:space="preserve">distanza tra la figura geometrica e il disegno che la </w:t>
      </w:r>
      <w:r w:rsidRPr="002C5417">
        <w:rPr>
          <w:rFonts w:eastAsia="Times New Roman"/>
          <w:color w:val="000000" w:themeColor="text1"/>
        </w:rPr>
        <w:t>rappresenta” (</w:t>
      </w:r>
      <w:r w:rsidR="005D26AA" w:rsidRPr="002C5417">
        <w:rPr>
          <w:rFonts w:eastAsia="Times New Roman"/>
          <w:color w:val="000000" w:themeColor="text1"/>
        </w:rPr>
        <w:t>Sabena et al.</w:t>
      </w:r>
      <w:r w:rsidRPr="002C5417">
        <w:rPr>
          <w:rFonts w:eastAsia="Times New Roman"/>
          <w:color w:val="000000" w:themeColor="text1"/>
        </w:rPr>
        <w:t xml:space="preserve">, 2019, p. 130). </w:t>
      </w:r>
      <w:r w:rsidR="00267A4D" w:rsidRPr="002C5417">
        <w:rPr>
          <w:rFonts w:eastAsia="Times New Roman"/>
          <w:color w:val="000000" w:themeColor="text1"/>
        </w:rPr>
        <w:t xml:space="preserve">È molto frequente negli studenti della scuola primaria e dell’infanzia </w:t>
      </w:r>
      <w:r w:rsidR="00267A4D" w:rsidRPr="00267A4D">
        <w:rPr>
          <w:rFonts w:eastAsia="Times New Roman"/>
          <w:color w:val="000000"/>
        </w:rPr>
        <w:t>confondere la figura geometrica con la sua rappresentazione (immagine, disegno): si tratta di un processo naturale che con gradualità porterà gli studenti a risolvere la misconcezione inevitabile. L'insegnante dovrà però essere consapevole della differenza tra l'ente geometrico e la sua rappresentazione e ricordare che, se da una parte il disegno è un supporto necessario all’apprendimento degli studenti, dall’altro può diventarne un ostacolo, a causa della sua incompletezza (</w:t>
      </w:r>
      <w:r w:rsidR="00267A4D">
        <w:rPr>
          <w:rFonts w:eastAsia="Times New Roman"/>
          <w:color w:val="000000"/>
        </w:rPr>
        <w:t xml:space="preserve">Sabena et al., </w:t>
      </w:r>
      <w:r w:rsidR="00267A4D" w:rsidRPr="00267A4D">
        <w:rPr>
          <w:rFonts w:eastAsia="Times New Roman"/>
          <w:color w:val="000000"/>
        </w:rPr>
        <w:t>2019).</w:t>
      </w:r>
    </w:p>
    <w:p w14:paraId="32591529" w14:textId="57F401BE" w:rsidR="00903EC6" w:rsidRPr="00235BB3" w:rsidRDefault="00235BB3" w:rsidP="00235BB3">
      <w:pPr>
        <w:pStyle w:val="Titolo3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Commento</w:t>
      </w:r>
      <w:r w:rsidR="00B806F5">
        <w:rPr>
          <w:rFonts w:ascii="Times New Roman" w:hAnsi="Times New Roman" w:cs="Times New Roman"/>
          <w:i/>
          <w:iCs/>
          <w:sz w:val="24"/>
          <w:szCs w:val="24"/>
        </w:rPr>
        <w:t xml:space="preserve"> e riflessioni finali</w:t>
      </w:r>
    </w:p>
    <w:p w14:paraId="34EB0FB2" w14:textId="49AE1969" w:rsidR="00307286" w:rsidRPr="00307286" w:rsidRDefault="00B806F5" w:rsidP="00307286">
      <w:pPr>
        <w:spacing w:line="360" w:lineRule="auto"/>
        <w:jc w:val="both"/>
        <w:rPr>
          <w:rFonts w:eastAsia="Times New Roman"/>
          <w:color w:val="000000"/>
        </w:rPr>
      </w:pPr>
      <w:r w:rsidRPr="006B6602">
        <w:rPr>
          <w:rFonts w:eastAsia="Times New Roman"/>
        </w:rPr>
        <w:t xml:space="preserve">L’indagine esplorativa </w:t>
      </w:r>
      <w:r w:rsidR="0004325A">
        <w:rPr>
          <w:rFonts w:eastAsia="Times New Roman"/>
        </w:rPr>
        <w:t xml:space="preserve">realizzata ha fatto emergere alcune </w:t>
      </w:r>
      <w:r w:rsidR="009F7A54">
        <w:rPr>
          <w:rFonts w:eastAsia="Times New Roman"/>
        </w:rPr>
        <w:t xml:space="preserve">caratteristiche legate a specifiche tipologie di </w:t>
      </w:r>
      <w:r w:rsidR="0004325A" w:rsidRPr="006B6602">
        <w:rPr>
          <w:rFonts w:eastAsia="Times New Roman"/>
        </w:rPr>
        <w:t xml:space="preserve">prove di </w:t>
      </w:r>
      <w:r w:rsidR="0004325A" w:rsidRPr="002C5417">
        <w:rPr>
          <w:rFonts w:eastAsia="Times New Roman"/>
          <w:color w:val="000000" w:themeColor="text1"/>
        </w:rPr>
        <w:t xml:space="preserve">verifica comuni adottate </w:t>
      </w:r>
      <w:r w:rsidR="0004325A">
        <w:rPr>
          <w:rFonts w:eastAsia="Times New Roman"/>
        </w:rPr>
        <w:t xml:space="preserve">all’intero della pratica didattica e organizzativa dell’istituto scolastico coinvolto. </w:t>
      </w:r>
      <w:r w:rsidR="00307286">
        <w:rPr>
          <w:rFonts w:eastAsia="Times New Roman"/>
        </w:rPr>
        <w:t>L</w:t>
      </w:r>
      <w:r w:rsidR="00307286" w:rsidRPr="006B6602">
        <w:rPr>
          <w:rFonts w:eastAsia="Times New Roman"/>
          <w:color w:val="000000"/>
        </w:rPr>
        <w:t xml:space="preserve">’indagine </w:t>
      </w:r>
      <w:r w:rsidR="00307286">
        <w:rPr>
          <w:rFonts w:eastAsia="Times New Roman"/>
          <w:color w:val="000000"/>
        </w:rPr>
        <w:t xml:space="preserve">è stata svolta nella </w:t>
      </w:r>
      <w:r w:rsidR="00307286" w:rsidRPr="006B6602">
        <w:rPr>
          <w:rFonts w:eastAsia="Times New Roman"/>
          <w:color w:val="000000"/>
        </w:rPr>
        <w:t xml:space="preserve">consapevolezza </w:t>
      </w:r>
      <w:r w:rsidR="00307286">
        <w:rPr>
          <w:rFonts w:eastAsia="Times New Roman"/>
          <w:color w:val="000000"/>
        </w:rPr>
        <w:t xml:space="preserve">circa </w:t>
      </w:r>
      <w:r w:rsidR="00307286" w:rsidRPr="006B6602">
        <w:rPr>
          <w:rFonts w:eastAsia="Times New Roman"/>
          <w:color w:val="000000"/>
        </w:rPr>
        <w:t>l’importanza (e la necessità) di contestualizzare e analizzare i documenti nell’ambito in cui sono stati prodotti</w:t>
      </w:r>
      <w:r w:rsidR="00307286">
        <w:rPr>
          <w:rFonts w:eastAsia="Times New Roman"/>
          <w:color w:val="000000"/>
        </w:rPr>
        <w:t xml:space="preserve"> </w:t>
      </w:r>
      <w:r w:rsidR="00307286" w:rsidRPr="006B6602">
        <w:rPr>
          <w:rFonts w:eastAsia="Times New Roman"/>
          <w:color w:val="000000"/>
        </w:rPr>
        <w:t xml:space="preserve">che </w:t>
      </w:r>
      <w:r w:rsidR="00307286">
        <w:rPr>
          <w:rFonts w:eastAsia="Times New Roman"/>
          <w:color w:val="000000"/>
        </w:rPr>
        <w:t>permette di collocare le prove di verifica analizzate all’interno di un</w:t>
      </w:r>
      <w:r w:rsidR="00307286" w:rsidRPr="006B6602">
        <w:rPr>
          <w:rFonts w:eastAsia="Times New Roman"/>
          <w:color w:val="000000"/>
        </w:rPr>
        <w:t xml:space="preserve"> percorso educa</w:t>
      </w:r>
      <w:r w:rsidR="00307286">
        <w:rPr>
          <w:rFonts w:eastAsia="Times New Roman"/>
          <w:color w:val="000000"/>
        </w:rPr>
        <w:t>tivo ben più ampio e progettato</w:t>
      </w:r>
      <w:r w:rsidR="00307286" w:rsidRPr="006B6602">
        <w:rPr>
          <w:rFonts w:eastAsia="Times New Roman"/>
          <w:color w:val="000000"/>
        </w:rPr>
        <w:t xml:space="preserve">. </w:t>
      </w:r>
    </w:p>
    <w:p w14:paraId="38C5FB4D" w14:textId="0C028916" w:rsidR="00307286" w:rsidRDefault="009F7A54" w:rsidP="00B806F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00235BB3">
        <w:rPr>
          <w:rFonts w:eastAsia="Times New Roman"/>
        </w:rPr>
        <w:t>e tipologie</w:t>
      </w:r>
      <w:r>
        <w:rPr>
          <w:rFonts w:eastAsia="Times New Roman"/>
        </w:rPr>
        <w:t xml:space="preserve"> </w:t>
      </w:r>
      <w:r w:rsidR="00235BB3" w:rsidRPr="00932AA1">
        <w:rPr>
          <w:rFonts w:eastAsia="Times New Roman"/>
        </w:rPr>
        <w:t xml:space="preserve">- </w:t>
      </w:r>
      <w:r w:rsidRPr="00932AA1">
        <w:rPr>
          <w:rFonts w:eastAsia="Times New Roman"/>
        </w:rPr>
        <w:t>‘</w:t>
      </w:r>
      <w:r w:rsidR="00932AA1" w:rsidRPr="00932AA1">
        <w:rPr>
          <w:rFonts w:eastAsia="Times New Roman"/>
        </w:rPr>
        <w:t>carta-e-matita’,</w:t>
      </w:r>
      <w:r w:rsidRPr="00932AA1">
        <w:rPr>
          <w:rFonts w:eastAsia="Times New Roman"/>
        </w:rPr>
        <w:t xml:space="preserve"> tratte dai libri di teso </w:t>
      </w:r>
      <w:r w:rsidR="00932AA1" w:rsidRPr="00932AA1">
        <w:rPr>
          <w:rFonts w:eastAsia="Times New Roman"/>
        </w:rPr>
        <w:t xml:space="preserve">e delle prove INVALSI </w:t>
      </w:r>
      <w:r w:rsidR="00235BB3" w:rsidRPr="00932AA1">
        <w:rPr>
          <w:rFonts w:eastAsia="Times New Roman"/>
        </w:rPr>
        <w:t xml:space="preserve">- </w:t>
      </w:r>
      <w:r w:rsidRPr="00932AA1">
        <w:rPr>
          <w:rFonts w:eastAsia="Times New Roman"/>
        </w:rPr>
        <w:t>analizzate sono state lette alla luce di alcuni</w:t>
      </w:r>
      <w:r>
        <w:rPr>
          <w:rFonts w:eastAsia="Times New Roman"/>
        </w:rPr>
        <w:t xml:space="preserve"> criteri di qualità tratti dalla ricerca del settore (</w:t>
      </w:r>
      <w:r w:rsidRPr="006B6602">
        <w:rPr>
          <w:rFonts w:eastAsia="Times New Roman"/>
        </w:rPr>
        <w:t>Haladyna</w:t>
      </w:r>
      <w:r>
        <w:rPr>
          <w:rFonts w:eastAsia="Times New Roman"/>
        </w:rPr>
        <w:t xml:space="preserve">, Downing e Rodriguez, 2002). Questo ha permesso di rilevare la presenza di errori contenuti, tuttavia specifici, </w:t>
      </w:r>
      <w:r w:rsidR="00235BB3">
        <w:rPr>
          <w:rFonts w:eastAsia="Times New Roman"/>
        </w:rPr>
        <w:t>legati alle dimensioni del contenuto</w:t>
      </w:r>
      <w:r w:rsidR="00235BB3" w:rsidRPr="00235BB3">
        <w:rPr>
          <w:rFonts w:eastAsia="Times New Roman"/>
          <w:color w:val="000000"/>
        </w:rPr>
        <w:t xml:space="preserve"> </w:t>
      </w:r>
      <w:r w:rsidR="00235BB3">
        <w:rPr>
          <w:rFonts w:eastAsia="Times New Roman"/>
          <w:color w:val="000000"/>
        </w:rPr>
        <w:t xml:space="preserve">(item </w:t>
      </w:r>
      <w:r w:rsidR="00235BB3" w:rsidRPr="006B6602">
        <w:rPr>
          <w:rFonts w:eastAsia="Times New Roman"/>
          <w:color w:val="000000"/>
        </w:rPr>
        <w:t xml:space="preserve">non </w:t>
      </w:r>
      <w:r w:rsidR="00235BB3">
        <w:rPr>
          <w:rFonts w:eastAsia="Times New Roman"/>
          <w:color w:val="000000"/>
        </w:rPr>
        <w:t>allineati agli obiettivi di apprendimento)</w:t>
      </w:r>
      <w:r w:rsidR="00235BB3">
        <w:rPr>
          <w:rFonts w:eastAsia="Times New Roman"/>
        </w:rPr>
        <w:t>, del formato (</w:t>
      </w:r>
      <w:r w:rsidR="00235BB3">
        <w:rPr>
          <w:rFonts w:eastAsia="Times New Roman"/>
          <w:color w:val="000000"/>
        </w:rPr>
        <w:t>c</w:t>
      </w:r>
      <w:r w:rsidR="00235BB3" w:rsidRPr="006B6602">
        <w:rPr>
          <w:rFonts w:eastAsia="Times New Roman"/>
          <w:color w:val="000000"/>
        </w:rPr>
        <w:t>onsegna ambigua</w:t>
      </w:r>
      <w:r w:rsidR="00235BB3">
        <w:rPr>
          <w:rFonts w:eastAsia="Times New Roman"/>
          <w:color w:val="000000"/>
        </w:rPr>
        <w:t>)</w:t>
      </w:r>
      <w:r w:rsidR="00235BB3">
        <w:rPr>
          <w:rFonts w:eastAsia="Times New Roman"/>
        </w:rPr>
        <w:t xml:space="preserve"> e dei mezzi grafico-iconici </w:t>
      </w:r>
      <w:r w:rsidR="00235BB3" w:rsidRPr="00323ACF">
        <w:rPr>
          <w:rFonts w:eastAsia="Times New Roman"/>
        </w:rPr>
        <w:t>integrati alla prova (</w:t>
      </w:r>
      <w:r w:rsidR="00235BB3" w:rsidRPr="00323ACF">
        <w:rPr>
          <w:rFonts w:eastAsia="Times New Roman"/>
          <w:color w:val="000000"/>
        </w:rPr>
        <w:t>referenti non adeguati).</w:t>
      </w:r>
      <w:r w:rsidR="00235BB3" w:rsidRPr="00323ACF">
        <w:rPr>
          <w:rFonts w:eastAsia="Times New Roman"/>
        </w:rPr>
        <w:t xml:space="preserve"> </w:t>
      </w:r>
      <w:r w:rsidR="00323ACF" w:rsidRPr="00323ACF">
        <w:rPr>
          <w:rFonts w:eastAsia="Times New Roman"/>
        </w:rPr>
        <w:t>Si tratta di elementi che da diversi piani minano</w:t>
      </w:r>
      <w:r w:rsidR="00323ACF" w:rsidRPr="00323ACF">
        <w:t xml:space="preserve"> il requisito essenziale della </w:t>
      </w:r>
      <w:r w:rsidR="00323ACF" w:rsidRPr="00323ACF">
        <w:rPr>
          <w:i/>
        </w:rPr>
        <w:t>validità</w:t>
      </w:r>
      <w:r w:rsidR="00323ACF" w:rsidRPr="00323ACF">
        <w:t xml:space="preserve"> di una prova di valutazione (Domenici, 2003). </w:t>
      </w:r>
      <w:r w:rsidR="00307286" w:rsidRPr="00323ACF">
        <w:rPr>
          <w:rFonts w:eastAsia="Times New Roman"/>
        </w:rPr>
        <w:t>In prima battuta</w:t>
      </w:r>
      <w:r w:rsidR="00235BB3" w:rsidRPr="00323ACF">
        <w:rPr>
          <w:rFonts w:eastAsia="Times New Roman"/>
        </w:rPr>
        <w:t xml:space="preserve">, </w:t>
      </w:r>
      <w:r w:rsidR="00235BB3" w:rsidRPr="00323ACF">
        <w:rPr>
          <w:rFonts w:eastAsia="Times New Roman"/>
          <w:color w:val="000000"/>
        </w:rPr>
        <w:t>l’analisi docum</w:t>
      </w:r>
      <w:r w:rsidR="00307286" w:rsidRPr="00323ACF">
        <w:rPr>
          <w:rFonts w:eastAsia="Times New Roman"/>
          <w:color w:val="000000"/>
        </w:rPr>
        <w:t>entale effettuata</w:t>
      </w:r>
      <w:r w:rsidR="00307286">
        <w:rPr>
          <w:rFonts w:eastAsia="Times New Roman"/>
          <w:color w:val="000000"/>
        </w:rPr>
        <w:t xml:space="preserve"> ha confermato, quindi, </w:t>
      </w:r>
      <w:r w:rsidR="00235BB3">
        <w:rPr>
          <w:rFonts w:eastAsia="Times New Roman"/>
          <w:color w:val="000000"/>
        </w:rPr>
        <w:t xml:space="preserve">quanto indicato dalla ricerca in merito </w:t>
      </w:r>
      <w:r w:rsidR="005F17BF">
        <w:rPr>
          <w:rFonts w:eastAsia="Times New Roman"/>
          <w:color w:val="000000"/>
        </w:rPr>
        <w:t xml:space="preserve">alla funzionalità </w:t>
      </w:r>
      <w:r w:rsidR="00235BB3">
        <w:rPr>
          <w:rFonts w:eastAsia="Times New Roman"/>
          <w:color w:val="000000"/>
        </w:rPr>
        <w:t>delle</w:t>
      </w:r>
      <w:r w:rsidR="00235BB3" w:rsidRPr="006B6602">
        <w:rPr>
          <w:rFonts w:eastAsia="Times New Roman"/>
          <w:color w:val="000000"/>
        </w:rPr>
        <w:t xml:space="preserve"> prove di </w:t>
      </w:r>
      <w:r w:rsidR="00235BB3">
        <w:rPr>
          <w:rFonts w:eastAsia="Times New Roman"/>
          <w:color w:val="000000"/>
        </w:rPr>
        <w:t>verifica</w:t>
      </w:r>
      <w:r w:rsidR="00235BB3" w:rsidRPr="006B6602">
        <w:rPr>
          <w:rFonts w:eastAsia="Times New Roman"/>
          <w:color w:val="000000"/>
        </w:rPr>
        <w:t xml:space="preserve">, </w:t>
      </w:r>
      <w:r w:rsidR="00235BB3">
        <w:rPr>
          <w:rFonts w:eastAsia="Times New Roman"/>
          <w:color w:val="000000"/>
        </w:rPr>
        <w:t>ossia di “</w:t>
      </w:r>
      <w:r w:rsidR="00235BB3" w:rsidRPr="006B6602">
        <w:rPr>
          <w:rFonts w:eastAsia="Times New Roman"/>
          <w:color w:val="000000"/>
        </w:rPr>
        <w:t>andare più a fondo nelle relazioni che intercorrono tra contenuto e forma</w:t>
      </w:r>
      <w:r w:rsidR="00235BB3">
        <w:rPr>
          <w:rFonts w:eastAsia="Times New Roman"/>
          <w:color w:val="000000"/>
        </w:rPr>
        <w:t>” (Demartini, Ferrari, Sbaragli, 2020, p. 20).</w:t>
      </w:r>
      <w:r w:rsidR="00235BB3" w:rsidRPr="006B6602">
        <w:rPr>
          <w:rFonts w:eastAsia="Times New Roman"/>
          <w:color w:val="000000"/>
        </w:rPr>
        <w:t xml:space="preserve"> </w:t>
      </w:r>
      <w:r w:rsidR="00235BB3">
        <w:rPr>
          <w:rFonts w:eastAsia="Times New Roman"/>
          <w:color w:val="000000"/>
        </w:rPr>
        <w:t xml:space="preserve">Lo scopo è, certamente, </w:t>
      </w:r>
      <w:r w:rsidR="00235BB3" w:rsidRPr="006B6602">
        <w:rPr>
          <w:rFonts w:eastAsia="Times New Roman"/>
          <w:color w:val="000000"/>
        </w:rPr>
        <w:t xml:space="preserve">quello di </w:t>
      </w:r>
      <w:r w:rsidR="00235BB3">
        <w:rPr>
          <w:rFonts w:eastAsia="Times New Roman"/>
          <w:color w:val="000000"/>
        </w:rPr>
        <w:t xml:space="preserve">contribuire a </w:t>
      </w:r>
      <w:r w:rsidR="00235BB3" w:rsidRPr="006B6602">
        <w:rPr>
          <w:rFonts w:eastAsia="Times New Roman"/>
          <w:color w:val="000000"/>
        </w:rPr>
        <w:t>realiz</w:t>
      </w:r>
      <w:r w:rsidR="00235BB3">
        <w:rPr>
          <w:rFonts w:eastAsia="Times New Roman"/>
          <w:color w:val="000000"/>
        </w:rPr>
        <w:t>zare strumenti di insegnamento-</w:t>
      </w:r>
      <w:r w:rsidR="00235BB3" w:rsidRPr="006B6602">
        <w:rPr>
          <w:rFonts w:eastAsia="Times New Roman"/>
          <w:color w:val="000000"/>
        </w:rPr>
        <w:t xml:space="preserve">apprendimento e valutazione più efficaci e affidabili, basati </w:t>
      </w:r>
      <w:r w:rsidR="00235BB3">
        <w:rPr>
          <w:rFonts w:eastAsia="Times New Roman"/>
          <w:color w:val="000000"/>
        </w:rPr>
        <w:t>“</w:t>
      </w:r>
      <w:r w:rsidR="00235BB3" w:rsidRPr="006B6602">
        <w:rPr>
          <w:rFonts w:eastAsia="Times New Roman"/>
          <w:color w:val="000000"/>
        </w:rPr>
        <w:t>su una migliore consapevolezza non solo disciplinare, ma anche linguistica e comunicativa</w:t>
      </w:r>
      <w:r w:rsidR="00235BB3">
        <w:rPr>
          <w:rFonts w:eastAsia="Times New Roman"/>
          <w:color w:val="000000"/>
        </w:rPr>
        <w:t xml:space="preserve"> (Demartini, Ferrari, Sbaragli, 2020, p. 20)</w:t>
      </w:r>
      <w:r w:rsidR="00235BB3" w:rsidRPr="006B6602">
        <w:rPr>
          <w:rFonts w:eastAsia="Times New Roman"/>
          <w:color w:val="000000"/>
        </w:rPr>
        <w:t>.</w:t>
      </w:r>
      <w:r w:rsidR="00BB1FEC" w:rsidRPr="00BB1FEC">
        <w:rPr>
          <w:rFonts w:eastAsia="Times New Roman"/>
          <w:color w:val="000000"/>
        </w:rPr>
        <w:t xml:space="preserve"> </w:t>
      </w:r>
      <w:r w:rsidR="00BB1FEC" w:rsidRPr="006B6602">
        <w:rPr>
          <w:rFonts w:eastAsia="Times New Roman"/>
          <w:color w:val="000000"/>
        </w:rPr>
        <w:t>Inoltre, considerando che molte decisioni sugli studenti vengono prese sulla base delle loro prestazioni nelle varie prove di valutazione somministrate, diventa fondamentale sviluppare dei buoni strumenti che siano il più validi e affidabili possibili</w:t>
      </w:r>
      <w:r w:rsidR="00BB1FEC">
        <w:rPr>
          <w:rFonts w:eastAsia="Times New Roman"/>
          <w:color w:val="000000"/>
        </w:rPr>
        <w:t xml:space="preserve"> (Simsek, 2016)</w:t>
      </w:r>
      <w:r w:rsidR="00BB1FEC" w:rsidRPr="006B6602">
        <w:rPr>
          <w:rFonts w:eastAsia="Times New Roman"/>
          <w:color w:val="000000"/>
        </w:rPr>
        <w:t>.</w:t>
      </w:r>
    </w:p>
    <w:p w14:paraId="71546323" w14:textId="21955B61" w:rsidR="00235BB3" w:rsidRDefault="000E3573" w:rsidP="00B806F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00BB1FEC">
        <w:rPr>
          <w:rFonts w:eastAsia="Times New Roman"/>
        </w:rPr>
        <w:t xml:space="preserve">’indagine realizzata e </w:t>
      </w:r>
      <w:r w:rsidR="00235BB3">
        <w:rPr>
          <w:rFonts w:eastAsia="Times New Roman"/>
        </w:rPr>
        <w:t>le evidenze riscontrate consentono</w:t>
      </w:r>
      <w:r>
        <w:rPr>
          <w:rFonts w:eastAsia="Times New Roman"/>
        </w:rPr>
        <w:t>, inoltre,</w:t>
      </w:r>
      <w:r w:rsidR="00235BB3">
        <w:rPr>
          <w:rFonts w:eastAsia="Times New Roman"/>
        </w:rPr>
        <w:t xml:space="preserve"> di </w:t>
      </w:r>
      <w:r w:rsidR="00A11B2F">
        <w:rPr>
          <w:rFonts w:eastAsia="Times New Roman"/>
        </w:rPr>
        <w:t xml:space="preserve">addentrarsi fin nelle </w:t>
      </w:r>
      <w:r w:rsidR="00235BB3">
        <w:rPr>
          <w:rFonts w:eastAsia="Times New Roman"/>
        </w:rPr>
        <w:t xml:space="preserve">pratiche didattico-valutative e </w:t>
      </w:r>
      <w:r w:rsidR="00235BB3" w:rsidRPr="002C5417">
        <w:rPr>
          <w:rFonts w:eastAsia="Times New Roman"/>
          <w:color w:val="000000" w:themeColor="text1"/>
        </w:rPr>
        <w:t xml:space="preserve">organizzative che i docenti </w:t>
      </w:r>
      <w:r w:rsidR="005F17BF" w:rsidRPr="002C5417">
        <w:rPr>
          <w:rFonts w:eastAsia="Times New Roman"/>
          <w:color w:val="000000" w:themeColor="text1"/>
        </w:rPr>
        <w:t xml:space="preserve">e le istituzioni scolastiche </w:t>
      </w:r>
      <w:r w:rsidR="00235BB3" w:rsidRPr="002C5417">
        <w:rPr>
          <w:rFonts w:eastAsia="Times New Roman"/>
          <w:color w:val="000000" w:themeColor="text1"/>
        </w:rPr>
        <w:t xml:space="preserve">realizzano nel quotidiano ‘fare scuola’ (Laneve, </w:t>
      </w:r>
      <w:r w:rsidR="00A11B2F" w:rsidRPr="002C5417">
        <w:rPr>
          <w:rFonts w:eastAsia="Times New Roman"/>
          <w:color w:val="000000" w:themeColor="text1"/>
        </w:rPr>
        <w:t>2010</w:t>
      </w:r>
      <w:r w:rsidR="00235BB3" w:rsidRPr="002C5417">
        <w:rPr>
          <w:rFonts w:eastAsia="Times New Roman"/>
          <w:color w:val="000000" w:themeColor="text1"/>
        </w:rPr>
        <w:t xml:space="preserve">). </w:t>
      </w:r>
      <w:r w:rsidR="00BB1FEC" w:rsidRPr="002C5417">
        <w:rPr>
          <w:rFonts w:eastAsia="Times New Roman"/>
          <w:color w:val="000000" w:themeColor="text1"/>
        </w:rPr>
        <w:t xml:space="preserve">Il rifermento </w:t>
      </w:r>
      <w:r w:rsidR="00BB1FEC">
        <w:rPr>
          <w:rFonts w:eastAsia="Times New Roman"/>
        </w:rPr>
        <w:t xml:space="preserve">è alla necessità di indagare più nel dettaglio e da vicino come i docenti elaborano le prove di verifica ex-novo e come le scelgono a partire da prodotti preesistenti. Questo </w:t>
      </w:r>
      <w:r w:rsidR="00307286">
        <w:rPr>
          <w:rFonts w:eastAsia="Times New Roman"/>
        </w:rPr>
        <w:t>consente di ampliare gli interessi dell’indagine, oltre che sulla qualità e l’efficacia dei mezzi cui si ricorre per realizzare la valutazione anche sulle pratiche in uso, inevitabilmente legate ai contesti educativi e culturali</w:t>
      </w:r>
      <w:r w:rsidR="00BB1FEC">
        <w:rPr>
          <w:rFonts w:eastAsia="Times New Roman"/>
        </w:rPr>
        <w:t xml:space="preserve">. </w:t>
      </w:r>
    </w:p>
    <w:p w14:paraId="537C3A02" w14:textId="519F1B68" w:rsidR="00307286" w:rsidRPr="002C5417" w:rsidRDefault="000E3573" w:rsidP="000E35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/>
        </w:rPr>
        <w:t>L</w:t>
      </w:r>
      <w:r w:rsidR="00307286" w:rsidRPr="006B6602">
        <w:rPr>
          <w:rFonts w:eastAsia="Times New Roman"/>
          <w:color w:val="000000"/>
        </w:rPr>
        <w:t xml:space="preserve">a ricerca sulla valutazione scolastica sta </w:t>
      </w:r>
      <w:r w:rsidRPr="002C5417">
        <w:rPr>
          <w:rFonts w:eastAsia="Times New Roman"/>
          <w:color w:val="000000" w:themeColor="text1"/>
        </w:rPr>
        <w:t xml:space="preserve">indagando sempre più </w:t>
      </w:r>
      <w:r w:rsidR="001A47C6" w:rsidRPr="002C5417">
        <w:rPr>
          <w:rFonts w:eastAsia="Times New Roman"/>
          <w:color w:val="000000" w:themeColor="text1"/>
        </w:rPr>
        <w:t>in profondità</w:t>
      </w:r>
      <w:r w:rsidRPr="002C5417">
        <w:rPr>
          <w:rFonts w:eastAsia="Times New Roman"/>
          <w:color w:val="000000" w:themeColor="text1"/>
        </w:rPr>
        <w:t xml:space="preserve"> sulla </w:t>
      </w:r>
      <w:r w:rsidR="00307286" w:rsidRPr="002C5417">
        <w:rPr>
          <w:rFonts w:eastAsia="Times New Roman"/>
          <w:color w:val="000000" w:themeColor="text1"/>
        </w:rPr>
        <w:t xml:space="preserve">ricchezza </w:t>
      </w:r>
      <w:r w:rsidRPr="002C5417">
        <w:rPr>
          <w:rFonts w:eastAsia="Times New Roman"/>
          <w:color w:val="000000" w:themeColor="text1"/>
        </w:rPr>
        <w:t xml:space="preserve">dei processi </w:t>
      </w:r>
      <w:r w:rsidR="00307286" w:rsidRPr="002C5417">
        <w:rPr>
          <w:rFonts w:eastAsia="Times New Roman"/>
          <w:color w:val="000000" w:themeColor="text1"/>
        </w:rPr>
        <w:t>valutazione in classe</w:t>
      </w:r>
      <w:r w:rsidRPr="002C5417">
        <w:rPr>
          <w:rFonts w:eastAsia="Times New Roman"/>
          <w:color w:val="000000" w:themeColor="text1"/>
        </w:rPr>
        <w:t xml:space="preserve"> </w:t>
      </w:r>
      <w:r w:rsidR="00323ACF" w:rsidRPr="002C5417">
        <w:rPr>
          <w:rFonts w:eastAsia="Times New Roman"/>
          <w:color w:val="000000" w:themeColor="text1"/>
        </w:rPr>
        <w:t>-</w:t>
      </w:r>
      <w:r w:rsidRPr="002C5417">
        <w:rPr>
          <w:rFonts w:eastAsia="Times New Roman"/>
          <w:color w:val="000000" w:themeColor="text1"/>
        </w:rPr>
        <w:t xml:space="preserve"> in modo da rendere più partecipi gli stessi studenti delle pratiche in atto (</w:t>
      </w:r>
      <w:r w:rsidR="00645285" w:rsidRPr="002C5417">
        <w:rPr>
          <w:rFonts w:eastAsia="Times New Roman"/>
          <w:color w:val="000000" w:themeColor="text1"/>
        </w:rPr>
        <w:t>Montalbetti, 2020</w:t>
      </w:r>
      <w:r w:rsidR="00136C5D" w:rsidRPr="002C5417">
        <w:rPr>
          <w:color w:val="000000" w:themeColor="text1"/>
        </w:rPr>
        <w:t>; Grion e Restiglian, 2021</w:t>
      </w:r>
      <w:r w:rsidR="00645285" w:rsidRPr="002C5417">
        <w:rPr>
          <w:rFonts w:eastAsia="Times New Roman"/>
          <w:color w:val="000000" w:themeColor="text1"/>
        </w:rPr>
        <w:t>)</w:t>
      </w:r>
      <w:r w:rsidRPr="002C5417">
        <w:rPr>
          <w:rFonts w:eastAsia="Times New Roman"/>
          <w:color w:val="000000" w:themeColor="text1"/>
        </w:rPr>
        <w:t xml:space="preserve"> sia sull’importanza di un’adeguata preparazione dei docenti</w:t>
      </w:r>
      <w:r w:rsidR="00307286" w:rsidRPr="002C5417">
        <w:rPr>
          <w:rFonts w:eastAsia="Times New Roman"/>
          <w:color w:val="000000" w:themeColor="text1"/>
        </w:rPr>
        <w:t xml:space="preserve"> </w:t>
      </w:r>
      <w:r w:rsidRPr="002C5417">
        <w:rPr>
          <w:rFonts w:eastAsia="Times New Roman"/>
          <w:color w:val="000000" w:themeColor="text1"/>
        </w:rPr>
        <w:t xml:space="preserve">- </w:t>
      </w:r>
      <w:r w:rsidR="00307286" w:rsidRPr="002C5417">
        <w:rPr>
          <w:rFonts w:eastAsia="Times New Roman"/>
          <w:color w:val="000000" w:themeColor="text1"/>
        </w:rPr>
        <w:t xml:space="preserve">in modo tale da rendere </w:t>
      </w:r>
      <w:r w:rsidRPr="002C5417">
        <w:rPr>
          <w:rFonts w:eastAsia="Times New Roman"/>
          <w:color w:val="000000" w:themeColor="text1"/>
        </w:rPr>
        <w:t>più compenti questi</w:t>
      </w:r>
      <w:r w:rsidR="00307286" w:rsidRPr="002C5417">
        <w:rPr>
          <w:rFonts w:eastAsia="Times New Roman"/>
          <w:color w:val="000000" w:themeColor="text1"/>
        </w:rPr>
        <w:t xml:space="preserve"> </w:t>
      </w:r>
      <w:r w:rsidRPr="002C5417">
        <w:rPr>
          <w:rFonts w:eastAsia="Times New Roman"/>
          <w:color w:val="000000" w:themeColor="text1"/>
        </w:rPr>
        <w:t>nella scelta e nell’uso di</w:t>
      </w:r>
      <w:r w:rsidR="00307286" w:rsidRPr="002C5417">
        <w:rPr>
          <w:rFonts w:eastAsia="Times New Roman"/>
          <w:color w:val="000000" w:themeColor="text1"/>
        </w:rPr>
        <w:t xml:space="preserve"> </w:t>
      </w:r>
      <w:r w:rsidRPr="002C5417">
        <w:rPr>
          <w:rFonts w:eastAsia="Times New Roman"/>
          <w:color w:val="000000" w:themeColor="text1"/>
        </w:rPr>
        <w:t xml:space="preserve">strategie e </w:t>
      </w:r>
      <w:r w:rsidR="00307286" w:rsidRPr="002C5417">
        <w:rPr>
          <w:rFonts w:eastAsia="Times New Roman"/>
          <w:color w:val="000000" w:themeColor="text1"/>
        </w:rPr>
        <w:t>strumen</w:t>
      </w:r>
      <w:r w:rsidRPr="002C5417">
        <w:rPr>
          <w:rFonts w:eastAsia="Times New Roman"/>
          <w:color w:val="000000" w:themeColor="text1"/>
        </w:rPr>
        <w:t xml:space="preserve">ti di valutazione più adeguati (Stiggins, 1988; </w:t>
      </w:r>
      <w:r w:rsidR="00136C5D" w:rsidRPr="002C5417">
        <w:rPr>
          <w:rFonts w:eastAsia="Times New Roman"/>
          <w:color w:val="000000" w:themeColor="text1"/>
        </w:rPr>
        <w:t>DeLuca e Johnson, 2017</w:t>
      </w:r>
      <w:r w:rsidRPr="002C5417">
        <w:rPr>
          <w:rFonts w:eastAsia="Times New Roman"/>
          <w:color w:val="000000" w:themeColor="text1"/>
        </w:rPr>
        <w:t>)</w:t>
      </w:r>
      <w:r w:rsidR="00307286" w:rsidRPr="002C5417">
        <w:rPr>
          <w:rFonts w:eastAsia="Times New Roman"/>
          <w:color w:val="000000" w:themeColor="text1"/>
        </w:rPr>
        <w:t>.</w:t>
      </w:r>
      <w:r w:rsidRPr="002C5417">
        <w:rPr>
          <w:rFonts w:eastAsia="Times New Roman"/>
          <w:color w:val="000000" w:themeColor="text1"/>
        </w:rPr>
        <w:t xml:space="preserve"> </w:t>
      </w:r>
      <w:r w:rsidR="00323ACF" w:rsidRPr="002C5417">
        <w:rPr>
          <w:rFonts w:eastAsia="Times New Roman"/>
          <w:color w:val="000000" w:themeColor="text1"/>
        </w:rPr>
        <w:t>La</w:t>
      </w:r>
      <w:r w:rsidR="00307286" w:rsidRPr="002C5417">
        <w:rPr>
          <w:rFonts w:eastAsia="Times New Roman"/>
          <w:color w:val="000000" w:themeColor="text1"/>
        </w:rPr>
        <w:t xml:space="preserve"> formazione </w:t>
      </w:r>
      <w:r w:rsidR="00323ACF" w:rsidRPr="002C5417">
        <w:rPr>
          <w:rFonts w:eastAsia="Times New Roman"/>
          <w:color w:val="000000" w:themeColor="text1"/>
        </w:rPr>
        <w:t>d</w:t>
      </w:r>
      <w:r w:rsidR="00323ACF" w:rsidRPr="00323ACF">
        <w:rPr>
          <w:rFonts w:eastAsia="Times New Roman"/>
          <w:color w:val="000000"/>
        </w:rPr>
        <w:t xml:space="preserve">elle </w:t>
      </w:r>
      <w:r w:rsidR="00323ACF" w:rsidRPr="00323ACF">
        <w:rPr>
          <w:rFonts w:eastAsia="Times New Roman"/>
          <w:color w:val="000000"/>
        </w:rPr>
        <w:lastRenderedPageBreak/>
        <w:t xml:space="preserve">competenze valutative degli insegnanti </w:t>
      </w:r>
      <w:r w:rsidR="00323ACF">
        <w:rPr>
          <w:rFonts w:eastAsia="Times New Roman"/>
          <w:color w:val="000000"/>
        </w:rPr>
        <w:t xml:space="preserve">legate alle prove di verifica - </w:t>
      </w:r>
      <w:r w:rsidR="00323ACF" w:rsidRPr="00323ACF">
        <w:rPr>
          <w:rFonts w:eastAsia="Times New Roman"/>
          <w:color w:val="000000"/>
        </w:rPr>
        <w:t xml:space="preserve">es. i requisiti e le caratteristiche delle prove di </w:t>
      </w:r>
      <w:r w:rsidR="00323ACF">
        <w:rPr>
          <w:rFonts w:eastAsia="Times New Roman"/>
          <w:color w:val="000000"/>
        </w:rPr>
        <w:t>qualità</w:t>
      </w:r>
      <w:r w:rsidR="00323ACF" w:rsidRPr="00323ACF">
        <w:rPr>
          <w:rFonts w:eastAsia="Times New Roman"/>
          <w:color w:val="000000"/>
        </w:rPr>
        <w:t xml:space="preserve"> - </w:t>
      </w:r>
      <w:r w:rsidR="00323ACF">
        <w:rPr>
          <w:rFonts w:eastAsia="Times New Roman"/>
          <w:color w:val="000000"/>
        </w:rPr>
        <w:t>dovrebbe</w:t>
      </w:r>
      <w:r w:rsidR="00307286" w:rsidRPr="00323ACF">
        <w:rPr>
          <w:rFonts w:eastAsia="Times New Roman"/>
          <w:color w:val="000000"/>
        </w:rPr>
        <w:t xml:space="preserve"> </w:t>
      </w:r>
      <w:r w:rsidR="00323ACF" w:rsidRPr="00323ACF">
        <w:rPr>
          <w:rFonts w:eastAsia="Times New Roman"/>
          <w:color w:val="000000"/>
        </w:rPr>
        <w:t xml:space="preserve">fornire conoscenze specifiche e abilità tecniche in modo da favorire </w:t>
      </w:r>
      <w:r w:rsidR="00C14B33">
        <w:rPr>
          <w:rFonts w:eastAsia="Times New Roman"/>
          <w:color w:val="000000"/>
        </w:rPr>
        <w:t xml:space="preserve">all’interno degli istituti scolastici una maggiore partecipazione alle decisioni collegiali legate alle pratiche valutative e </w:t>
      </w:r>
      <w:r w:rsidR="00323ACF">
        <w:rPr>
          <w:rFonts w:eastAsia="Times New Roman"/>
          <w:color w:val="000000"/>
        </w:rPr>
        <w:t xml:space="preserve">un </w:t>
      </w:r>
      <w:r w:rsidR="00323ACF" w:rsidRPr="00323ACF">
        <w:rPr>
          <w:rFonts w:eastAsia="Times New Roman"/>
          <w:color w:val="000000"/>
        </w:rPr>
        <w:t>atteggiamento</w:t>
      </w:r>
      <w:r w:rsidR="00307286" w:rsidRPr="00323ACF">
        <w:rPr>
          <w:rFonts w:eastAsia="Times New Roman"/>
          <w:color w:val="000000"/>
        </w:rPr>
        <w:t xml:space="preserve"> critico nei </w:t>
      </w:r>
      <w:r w:rsidR="00307286" w:rsidRPr="002C5417">
        <w:rPr>
          <w:rFonts w:eastAsia="Times New Roman"/>
          <w:color w:val="000000" w:themeColor="text1"/>
        </w:rPr>
        <w:t>c</w:t>
      </w:r>
      <w:r w:rsidR="00323ACF" w:rsidRPr="002C5417">
        <w:rPr>
          <w:rFonts w:eastAsia="Times New Roman"/>
          <w:color w:val="000000" w:themeColor="text1"/>
        </w:rPr>
        <w:t>onfronti delle risorse reperibili sui</w:t>
      </w:r>
      <w:r w:rsidR="00307286" w:rsidRPr="002C5417">
        <w:rPr>
          <w:rFonts w:eastAsia="Times New Roman"/>
          <w:color w:val="000000" w:themeColor="text1"/>
        </w:rPr>
        <w:t xml:space="preserve"> libri di t</w:t>
      </w:r>
      <w:r w:rsidR="00323ACF" w:rsidRPr="002C5417">
        <w:rPr>
          <w:rFonts w:eastAsia="Times New Roman"/>
          <w:color w:val="000000" w:themeColor="text1"/>
        </w:rPr>
        <w:t xml:space="preserve">esto e </w:t>
      </w:r>
      <w:r w:rsidR="00C14B33" w:rsidRPr="002C5417">
        <w:rPr>
          <w:rFonts w:eastAsia="Times New Roman"/>
          <w:color w:val="000000" w:themeColor="text1"/>
        </w:rPr>
        <w:t>da d</w:t>
      </w:r>
      <w:r w:rsidR="001A47C6" w:rsidRPr="002C5417">
        <w:rPr>
          <w:rFonts w:eastAsia="Times New Roman"/>
          <w:color w:val="000000" w:themeColor="text1"/>
        </w:rPr>
        <w:t xml:space="preserve">iverse fonti. In questo modo il ruolo </w:t>
      </w:r>
      <w:r w:rsidR="00C14B33" w:rsidRPr="002C5417">
        <w:rPr>
          <w:rFonts w:eastAsia="Times New Roman"/>
          <w:color w:val="000000" w:themeColor="text1"/>
        </w:rPr>
        <w:t xml:space="preserve">docente </w:t>
      </w:r>
      <w:r w:rsidR="001A47C6" w:rsidRPr="002C5417">
        <w:rPr>
          <w:rFonts w:eastAsia="Times New Roman"/>
          <w:color w:val="000000" w:themeColor="text1"/>
        </w:rPr>
        <w:t xml:space="preserve">consoliderebbe </w:t>
      </w:r>
      <w:r w:rsidR="00C14B33" w:rsidRPr="002C5417">
        <w:rPr>
          <w:rFonts w:eastAsia="Times New Roman"/>
          <w:color w:val="000000" w:themeColor="text1"/>
        </w:rPr>
        <w:t>la</w:t>
      </w:r>
      <w:r w:rsidR="001A47C6" w:rsidRPr="002C5417">
        <w:rPr>
          <w:rFonts w:eastAsia="Times New Roman"/>
          <w:color w:val="000000" w:themeColor="text1"/>
        </w:rPr>
        <w:t xml:space="preserve"> sua</w:t>
      </w:r>
      <w:r w:rsidR="00C14B33" w:rsidRPr="002C5417">
        <w:rPr>
          <w:rFonts w:eastAsia="Times New Roman"/>
          <w:color w:val="000000" w:themeColor="text1"/>
        </w:rPr>
        <w:t xml:space="preserve"> professionalità e </w:t>
      </w:r>
      <w:r w:rsidR="001A47C6" w:rsidRPr="002C5417">
        <w:rPr>
          <w:rFonts w:eastAsia="Times New Roman"/>
          <w:color w:val="000000" w:themeColor="text1"/>
        </w:rPr>
        <w:t xml:space="preserve">dismetterebbe i panni di </w:t>
      </w:r>
      <w:r w:rsidR="00C14B33" w:rsidRPr="002C5417">
        <w:rPr>
          <w:rFonts w:eastAsia="Times New Roman"/>
          <w:color w:val="000000" w:themeColor="text1"/>
        </w:rPr>
        <w:t xml:space="preserve">utente passivo </w:t>
      </w:r>
      <w:r w:rsidR="001A47C6" w:rsidRPr="002C5417">
        <w:rPr>
          <w:rFonts w:eastAsia="Times New Roman"/>
          <w:color w:val="000000" w:themeColor="text1"/>
        </w:rPr>
        <w:t>di supporti didattici (come i libri di testo) non sempre rispondenti alle logiche educative ma di</w:t>
      </w:r>
      <w:r w:rsidR="00C14B33" w:rsidRPr="002C5417">
        <w:rPr>
          <w:rFonts w:eastAsia="Times New Roman"/>
          <w:color w:val="000000" w:themeColor="text1"/>
        </w:rPr>
        <w:t xml:space="preserve"> mercato</w:t>
      </w:r>
      <w:r w:rsidR="00307286" w:rsidRPr="002C5417">
        <w:rPr>
          <w:rFonts w:eastAsia="Times New Roman"/>
          <w:color w:val="000000" w:themeColor="text1"/>
        </w:rPr>
        <w:t xml:space="preserve"> (Haladyna</w:t>
      </w:r>
      <w:r w:rsidR="00C14B33" w:rsidRPr="002C5417">
        <w:rPr>
          <w:rFonts w:eastAsia="Times New Roman"/>
          <w:color w:val="000000" w:themeColor="text1"/>
        </w:rPr>
        <w:t>, Downing, Rodriguez, 2002</w:t>
      </w:r>
      <w:r w:rsidR="00307286" w:rsidRPr="002C5417">
        <w:rPr>
          <w:rFonts w:eastAsia="Times New Roman"/>
          <w:color w:val="000000" w:themeColor="text1"/>
        </w:rPr>
        <w:t>).</w:t>
      </w:r>
      <w:r w:rsidRPr="002C5417">
        <w:rPr>
          <w:rFonts w:eastAsia="Times New Roman"/>
          <w:color w:val="000000" w:themeColor="text1"/>
        </w:rPr>
        <w:t xml:space="preserve"> </w:t>
      </w:r>
    </w:p>
    <w:p w14:paraId="5EF6453B" w14:textId="77777777" w:rsidR="003F6B12" w:rsidRPr="008D069D" w:rsidRDefault="006F47B1" w:rsidP="0025601C">
      <w:pPr>
        <w:pStyle w:val="Titolo1"/>
        <w:numPr>
          <w:ilvl w:val="0"/>
          <w:numId w:val="0"/>
        </w:num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8D069D">
        <w:rPr>
          <w:rFonts w:ascii="Times New Roman" w:hAnsi="Times New Roman" w:cs="Times New Roman"/>
          <w:i/>
          <w:iCs/>
          <w:sz w:val="24"/>
          <w:szCs w:val="24"/>
        </w:rPr>
        <w:lastRenderedPageBreak/>
        <w:t>Bibliografia</w:t>
      </w:r>
    </w:p>
    <w:p w14:paraId="0722B08F" w14:textId="0B6A8D3C" w:rsidR="003674AE" w:rsidRDefault="003674AE" w:rsidP="00F016A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7E4168">
        <w:rPr>
          <w:rFonts w:eastAsia="Times New Roman"/>
          <w:color w:val="000000" w:themeColor="text1"/>
        </w:rPr>
        <w:t>AUTHOR (2021)</w:t>
      </w:r>
      <w:bookmarkStart w:id="2" w:name="_GoBack"/>
      <w:bookmarkEnd w:id="2"/>
    </w:p>
    <w:p w14:paraId="58DC02F6" w14:textId="77777777" w:rsidR="003674AE" w:rsidRDefault="003674AE" w:rsidP="00F016A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</w:p>
    <w:p w14:paraId="0C68AFAA" w14:textId="77777777" w:rsidR="00EB5B4D" w:rsidRPr="00D74F5B" w:rsidRDefault="00EB5B4D" w:rsidP="00F016A3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D74F5B">
        <w:rPr>
          <w:rFonts w:eastAsia="Times New Roman"/>
          <w:color w:val="000000" w:themeColor="text1"/>
        </w:rPr>
        <w:t xml:space="preserve">Ali, S. H., Carr, P. A., &amp; Ruit, K. G. (2016). </w:t>
      </w:r>
      <w:r w:rsidRPr="00D74F5B">
        <w:rPr>
          <w:rFonts w:eastAsia="Times New Roman"/>
          <w:color w:val="000000" w:themeColor="text1"/>
          <w:lang w:val="en-US"/>
        </w:rPr>
        <w:t xml:space="preserve">Validity and Reliability of Scores Obtained on Multiple-Choice Questions: Why Functioning Distractors Matter. </w:t>
      </w:r>
      <w:r w:rsidRPr="00D74F5B">
        <w:rPr>
          <w:rFonts w:eastAsia="Times New Roman"/>
          <w:i/>
          <w:color w:val="000000" w:themeColor="text1"/>
          <w:lang w:val="en-US"/>
        </w:rPr>
        <w:t>Journal of the Scholarship of Teaching and Learning</w:t>
      </w:r>
      <w:r w:rsidRPr="00D74F5B">
        <w:rPr>
          <w:rFonts w:eastAsia="Times New Roman"/>
          <w:color w:val="000000" w:themeColor="text1"/>
          <w:lang w:val="en-US"/>
        </w:rPr>
        <w:t xml:space="preserve">, 16(1), 1-14. </w:t>
      </w:r>
    </w:p>
    <w:p w14:paraId="2727D285" w14:textId="77777777" w:rsidR="00EB5B4D" w:rsidRPr="003674AE" w:rsidRDefault="00EB5B4D" w:rsidP="006F3867">
      <w:pPr>
        <w:jc w:val="both"/>
        <w:rPr>
          <w:rFonts w:eastAsia="Times New Roman"/>
          <w:color w:val="000000" w:themeColor="text1"/>
          <w:lang w:val="en-US"/>
        </w:rPr>
      </w:pPr>
      <w:r w:rsidRPr="00D74F5B">
        <w:rPr>
          <w:color w:val="000000" w:themeColor="text1"/>
          <w:lang w:val="en-US"/>
        </w:rPr>
        <w:t>Anderson</w:t>
      </w:r>
      <w:r w:rsidRPr="00D74F5B">
        <w:rPr>
          <w:rFonts w:eastAsia="Times New Roman"/>
          <w:color w:val="000000" w:themeColor="text1"/>
          <w:lang w:val="en-US"/>
        </w:rPr>
        <w:t>, L.W.</w:t>
      </w:r>
      <w:r w:rsidRPr="00D74F5B">
        <w:rPr>
          <w:color w:val="000000" w:themeColor="text1"/>
          <w:lang w:val="en-US"/>
        </w:rPr>
        <w:t>, Krathwohl</w:t>
      </w:r>
      <w:r w:rsidRPr="00D74F5B">
        <w:rPr>
          <w:rFonts w:eastAsia="Times New Roman"/>
          <w:color w:val="000000" w:themeColor="text1"/>
          <w:lang w:val="en-US"/>
        </w:rPr>
        <w:t>. D.R.</w:t>
      </w:r>
      <w:r w:rsidRPr="00D74F5B">
        <w:rPr>
          <w:color w:val="000000" w:themeColor="text1"/>
          <w:lang w:val="en-US"/>
        </w:rPr>
        <w:t xml:space="preserve">, Airasian P.W. et al. (2001). </w:t>
      </w:r>
      <w:r w:rsidRPr="00D74F5B">
        <w:rPr>
          <w:rFonts w:eastAsia="Times New Roman"/>
          <w:i/>
          <w:color w:val="000000" w:themeColor="text1"/>
          <w:lang w:val="en-US"/>
        </w:rPr>
        <w:t>A</w:t>
      </w:r>
      <w:r w:rsidRPr="00D74F5B">
        <w:rPr>
          <w:i/>
          <w:color w:val="000000" w:themeColor="text1"/>
          <w:lang w:val="en-US"/>
        </w:rPr>
        <w:t> taxonomy </w:t>
      </w:r>
      <w:r w:rsidRPr="00D74F5B">
        <w:rPr>
          <w:rFonts w:eastAsia="Times New Roman"/>
          <w:i/>
          <w:color w:val="000000" w:themeColor="text1"/>
          <w:lang w:val="en-US"/>
        </w:rPr>
        <w:t xml:space="preserve">for learning, teaching, and assessing. </w:t>
      </w:r>
      <w:r w:rsidRPr="003674AE">
        <w:rPr>
          <w:rFonts w:eastAsia="Times New Roman"/>
          <w:i/>
          <w:color w:val="000000" w:themeColor="text1"/>
          <w:lang w:val="en-US"/>
        </w:rPr>
        <w:t>A revision of Bloom's</w:t>
      </w:r>
      <w:r w:rsidRPr="003674AE">
        <w:rPr>
          <w:i/>
          <w:color w:val="000000" w:themeColor="text1"/>
          <w:lang w:val="en-US"/>
        </w:rPr>
        <w:t> taxonomy </w:t>
      </w:r>
      <w:r w:rsidRPr="003674AE">
        <w:rPr>
          <w:rFonts w:eastAsia="Times New Roman"/>
          <w:i/>
          <w:color w:val="000000" w:themeColor="text1"/>
          <w:lang w:val="en-US"/>
        </w:rPr>
        <w:t>of educational objectives</w:t>
      </w:r>
      <w:r w:rsidRPr="003674AE">
        <w:rPr>
          <w:rFonts w:eastAsia="Times New Roman"/>
          <w:color w:val="000000" w:themeColor="text1"/>
          <w:lang w:val="en-US"/>
        </w:rPr>
        <w:t>. London: Longman.</w:t>
      </w:r>
    </w:p>
    <w:p w14:paraId="3DC3EFEA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Baldassarre M. (2015). Le prove semi-strutturate di conoscenza e il loro uso, in L. Galliani (a cura di), </w:t>
      </w:r>
      <w:r w:rsidRPr="00D74F5B">
        <w:rPr>
          <w:rFonts w:eastAsia="Times New Roman"/>
          <w:i/>
          <w:color w:val="000000" w:themeColor="text1"/>
        </w:rPr>
        <w:t>L’agire valutativo. Ma</w:t>
      </w:r>
      <w:r w:rsidRPr="003674AE">
        <w:rPr>
          <w:rFonts w:eastAsia="Times New Roman"/>
          <w:i/>
          <w:color w:val="000000" w:themeColor="text1"/>
        </w:rPr>
        <w:t xml:space="preserve">nuale </w:t>
      </w:r>
      <w:r w:rsidRPr="00D74F5B">
        <w:rPr>
          <w:rFonts w:eastAsia="Times New Roman"/>
          <w:i/>
          <w:color w:val="000000" w:themeColor="text1"/>
        </w:rPr>
        <w:t>per docenti e formatori</w:t>
      </w:r>
      <w:r w:rsidRPr="00D74F5B">
        <w:rPr>
          <w:rFonts w:eastAsia="Times New Roman"/>
          <w:color w:val="000000" w:themeColor="text1"/>
        </w:rPr>
        <w:t xml:space="preserve"> (pp. 217-234). La Scuola: Milano.</w:t>
      </w:r>
    </w:p>
    <w:p w14:paraId="20D7B54F" w14:textId="77777777" w:rsidR="00EB5B4D" w:rsidRPr="00D74F5B" w:rsidRDefault="00EB5B4D" w:rsidP="00F016A3">
      <w:pPr>
        <w:pStyle w:val="Testonotaapidipagina"/>
        <w:jc w:val="both"/>
        <w:rPr>
          <w:color w:val="000000" w:themeColor="text1"/>
          <w:sz w:val="24"/>
          <w:szCs w:val="24"/>
        </w:rPr>
      </w:pPr>
      <w:r w:rsidRPr="00D74F5B">
        <w:rPr>
          <w:color w:val="000000" w:themeColor="text1"/>
          <w:sz w:val="24"/>
          <w:szCs w:val="24"/>
        </w:rPr>
        <w:t xml:space="preserve">Baldassarre M., Forliano F. (2022). </w:t>
      </w:r>
      <w:r w:rsidRPr="00D74F5B">
        <w:rPr>
          <w:i/>
          <w:iCs/>
          <w:color w:val="000000" w:themeColor="text1"/>
          <w:sz w:val="24"/>
          <w:szCs w:val="24"/>
        </w:rPr>
        <w:t>Imparare a valutare nella scuola primaria. Strumenti, teorie, pratiche.</w:t>
      </w:r>
      <w:r w:rsidRPr="00D74F5B">
        <w:rPr>
          <w:color w:val="000000" w:themeColor="text1"/>
          <w:sz w:val="24"/>
          <w:szCs w:val="24"/>
        </w:rPr>
        <w:t xml:space="preserve"> FrancoAngeli: Milano.</w:t>
      </w:r>
    </w:p>
    <w:p w14:paraId="0E534E40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color w:val="000000" w:themeColor="text1"/>
        </w:rPr>
        <w:t xml:space="preserve">Benvenuto G. (2003). </w:t>
      </w:r>
      <w:r w:rsidRPr="00D74F5B">
        <w:rPr>
          <w:i/>
          <w:iCs/>
          <w:color w:val="000000" w:themeColor="text1"/>
        </w:rPr>
        <w:t>Mettere i voti a scuola. Introduzione alla docimologia</w:t>
      </w:r>
      <w:r w:rsidRPr="00D74F5B">
        <w:rPr>
          <w:color w:val="000000" w:themeColor="text1"/>
        </w:rPr>
        <w:t>. Carocci: Roma.</w:t>
      </w:r>
    </w:p>
    <w:p w14:paraId="2CEDA9B8" w14:textId="77777777" w:rsidR="00EB5B4D" w:rsidRPr="00D74F5B" w:rsidRDefault="00EB5B4D" w:rsidP="00F016A3">
      <w:pPr>
        <w:pStyle w:val="NormaleWeb"/>
        <w:spacing w:before="0" w:beforeAutospacing="0" w:after="0" w:afterAutospacing="0"/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  <w:highlight w:val="white"/>
        </w:rPr>
        <w:t>Benvenuto G., Di Bucci Felicetti O.S., Pozio S. – INDIRE (2012</w:t>
      </w:r>
      <w:r w:rsidRPr="00D74F5B">
        <w:rPr>
          <w:rFonts w:eastAsia="Times New Roman"/>
          <w:color w:val="000000" w:themeColor="text1"/>
        </w:rPr>
        <w:t>). C</w:t>
      </w:r>
      <w:r w:rsidRPr="00D74F5B">
        <w:rPr>
          <w:rFonts w:eastAsia="Times New Roman"/>
          <w:color w:val="000000" w:themeColor="text1"/>
          <w:shd w:val="clear" w:color="auto" w:fill="FFFFFF"/>
        </w:rPr>
        <w:t xml:space="preserve">ostruire Prove Comuni. Costruire Prove Comuni (Disciplinari e Trasversali) - </w:t>
      </w:r>
      <w:hyperlink r:id="rId14" w:history="1">
        <w:r w:rsidRPr="00D74F5B">
          <w:rPr>
            <w:rStyle w:val="Collegamentoipertestuale"/>
            <w:rFonts w:eastAsia="Times New Roman"/>
            <w:color w:val="000000" w:themeColor="text1"/>
          </w:rPr>
          <w:t>http://www.scuolavalore.indire.it/guide/pqm-materiali-metodologici</w:t>
        </w:r>
      </w:hyperlink>
      <w:r w:rsidRPr="00D74F5B">
        <w:rPr>
          <w:rFonts w:eastAsia="Times New Roman"/>
          <w:color w:val="000000" w:themeColor="text1"/>
        </w:rPr>
        <w:t>.</w:t>
      </w:r>
    </w:p>
    <w:p w14:paraId="3494C1B9" w14:textId="77777777" w:rsidR="00EB5B4D" w:rsidRPr="00D74F5B" w:rsidRDefault="00EB5B4D" w:rsidP="00F016A3">
      <w:pPr>
        <w:pStyle w:val="Testonotaapidipagina"/>
        <w:jc w:val="both"/>
        <w:rPr>
          <w:color w:val="000000" w:themeColor="text1"/>
          <w:sz w:val="24"/>
          <w:szCs w:val="24"/>
        </w:rPr>
      </w:pPr>
      <w:r w:rsidRPr="00D74F5B">
        <w:rPr>
          <w:color w:val="000000" w:themeColor="text1"/>
          <w:sz w:val="24"/>
          <w:szCs w:val="24"/>
        </w:rPr>
        <w:t xml:space="preserve">Benvenuto G., Giaconmantonio A. (2008). </w:t>
      </w:r>
      <w:r w:rsidRPr="00D74F5B">
        <w:rPr>
          <w:i/>
          <w:iCs/>
          <w:color w:val="000000" w:themeColor="text1"/>
          <w:sz w:val="24"/>
          <w:szCs w:val="24"/>
        </w:rPr>
        <w:t>La valutazione scolastica: lettura e riflessioni. Un’antologia di testi sulle teorie della valutazione</w:t>
      </w:r>
      <w:r w:rsidRPr="00D74F5B">
        <w:rPr>
          <w:color w:val="000000" w:themeColor="text1"/>
          <w:sz w:val="24"/>
          <w:szCs w:val="24"/>
        </w:rPr>
        <w:t>, Nuova Cultura: Roma.</w:t>
      </w:r>
    </w:p>
    <w:p w14:paraId="49D8B3CB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color w:val="000000" w:themeColor="text1"/>
        </w:rPr>
        <w:t xml:space="preserve">Benvenuto G., Lopriore L. (1999). Costruzione e somministrazione degli strumenti in L. Pagnoncelli (a cura di). </w:t>
      </w:r>
      <w:r w:rsidRPr="00D74F5B">
        <w:rPr>
          <w:i/>
          <w:iCs/>
          <w:color w:val="000000" w:themeColor="text1"/>
        </w:rPr>
        <w:t>Formulazione e valutazione dell’apprendimento. Metodologie e strumenti</w:t>
      </w:r>
      <w:r w:rsidRPr="00D74F5B">
        <w:rPr>
          <w:color w:val="000000" w:themeColor="text1"/>
        </w:rPr>
        <w:t>. Ancia: Roma.</w:t>
      </w:r>
    </w:p>
    <w:p w14:paraId="19764791" w14:textId="77777777" w:rsidR="00EB5B4D" w:rsidRPr="00D74F5B" w:rsidRDefault="00EB5B4D" w:rsidP="00F016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D74F5B">
        <w:rPr>
          <w:rFonts w:eastAsia="Times New Roman"/>
          <w:color w:val="000000" w:themeColor="text1"/>
        </w:rPr>
        <w:t>Bertagna G. (2007).</w:t>
      </w:r>
      <w:r w:rsidRPr="00D74F5B">
        <w:rPr>
          <w:color w:val="000000" w:themeColor="text1"/>
        </w:rPr>
        <w:t xml:space="preserve"> </w:t>
      </w:r>
      <w:r w:rsidRPr="00D74F5B">
        <w:rPr>
          <w:rFonts w:eastAsia="Times New Roman"/>
          <w:color w:val="000000" w:themeColor="text1"/>
        </w:rPr>
        <w:t xml:space="preserve">Perché non esistono competenze senza conoscenze in G. Sandrone (a cura di), </w:t>
      </w:r>
      <w:r w:rsidRPr="00D74F5B">
        <w:rPr>
          <w:rFonts w:eastAsia="Times New Roman"/>
          <w:i/>
          <w:color w:val="000000" w:themeColor="text1"/>
        </w:rPr>
        <w:t>La cultura assente. Un'indagine sul tema ‘Professione docente e cultura ponte.</w:t>
      </w:r>
      <w:r w:rsidRPr="00D74F5B">
        <w:rPr>
          <w:rFonts w:eastAsia="Times New Roman"/>
          <w:color w:val="000000" w:themeColor="text1"/>
        </w:rPr>
        <w:t xml:space="preserve"> Rubbettino: </w:t>
      </w:r>
      <w:r w:rsidRPr="00D74F5B">
        <w:rPr>
          <w:color w:val="000000" w:themeColor="text1"/>
        </w:rPr>
        <w:t>Catanzaro.</w:t>
      </w:r>
    </w:p>
    <w:p w14:paraId="69A450D4" w14:textId="77777777" w:rsidR="00EB5B4D" w:rsidRPr="00D74F5B" w:rsidRDefault="00EB5B4D" w:rsidP="00F01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 w:themeColor="text1"/>
        </w:rPr>
      </w:pPr>
      <w:r w:rsidRPr="00D74F5B">
        <w:rPr>
          <w:color w:val="000000" w:themeColor="text1"/>
        </w:rPr>
        <w:t xml:space="preserve">Bonaiuti G., Calvani A., Ranieri M. (2007). </w:t>
      </w:r>
      <w:r w:rsidRPr="00D74F5B">
        <w:rPr>
          <w:i/>
          <w:iCs/>
          <w:color w:val="000000" w:themeColor="text1"/>
        </w:rPr>
        <w:t>Fondamenti di didattica. Teoria e prassi dei dispositivi formativi</w:t>
      </w:r>
      <w:r w:rsidRPr="00D74F5B">
        <w:rPr>
          <w:color w:val="000000" w:themeColor="text1"/>
        </w:rPr>
        <w:t>. Carocci: Roma.</w:t>
      </w:r>
    </w:p>
    <w:p w14:paraId="5FBDB5F9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Bonazza V. (2015). Le prove strutturate di conoscenza e il loro uso, in L. Galliani, </w:t>
      </w:r>
      <w:r w:rsidRPr="00D74F5B">
        <w:rPr>
          <w:rFonts w:eastAsia="Times New Roman"/>
          <w:i/>
          <w:color w:val="000000" w:themeColor="text1"/>
        </w:rPr>
        <w:t>L’agire valutativo. Manuale per docenti e formatori</w:t>
      </w:r>
      <w:r w:rsidRPr="00D74F5B">
        <w:rPr>
          <w:rFonts w:eastAsia="Times New Roman"/>
          <w:color w:val="000000" w:themeColor="text1"/>
        </w:rPr>
        <w:t xml:space="preserve"> (pp. 201-218). La Scuola: Milano.</w:t>
      </w:r>
    </w:p>
    <w:p w14:paraId="0BFAECF3" w14:textId="77777777" w:rsidR="00EB5B4D" w:rsidRPr="00D74F5B" w:rsidRDefault="00EB5B4D" w:rsidP="00F01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 w:themeColor="text1"/>
          <w:lang w:val="en-US"/>
        </w:rPr>
      </w:pPr>
      <w:r w:rsidRPr="00D74F5B">
        <w:rPr>
          <w:rFonts w:eastAsia="Times New Roman"/>
          <w:color w:val="000000" w:themeColor="text1"/>
        </w:rPr>
        <w:t xml:space="preserve">Bowen G. A. (2009). </w:t>
      </w:r>
      <w:r w:rsidRPr="00D74F5B">
        <w:rPr>
          <w:rFonts w:eastAsia="Times New Roman"/>
          <w:color w:val="000000" w:themeColor="text1"/>
          <w:lang w:val="en-US"/>
        </w:rPr>
        <w:t xml:space="preserve">Document Analysis as a Qualitative Research Method. </w:t>
      </w:r>
      <w:r w:rsidRPr="00D74F5B">
        <w:rPr>
          <w:rFonts w:eastAsia="Times New Roman"/>
          <w:i/>
          <w:color w:val="000000" w:themeColor="text1"/>
          <w:lang w:val="en-US"/>
        </w:rPr>
        <w:t>Qualitative Research Journal</w:t>
      </w:r>
      <w:r w:rsidRPr="00D74F5B">
        <w:rPr>
          <w:rFonts w:eastAsia="Times New Roman"/>
          <w:color w:val="000000" w:themeColor="text1"/>
          <w:lang w:val="en-US"/>
        </w:rPr>
        <w:t>, 9, 2, 2009, 27 – 40.</w:t>
      </w:r>
    </w:p>
    <w:p w14:paraId="3460D170" w14:textId="77777777" w:rsidR="00EB5B4D" w:rsidRPr="00D74F5B" w:rsidRDefault="00EB5B4D" w:rsidP="00F016A3">
      <w:pPr>
        <w:pStyle w:val="Testonotaapidipagina"/>
        <w:jc w:val="both"/>
        <w:rPr>
          <w:color w:val="000000" w:themeColor="text1"/>
          <w:sz w:val="24"/>
          <w:szCs w:val="24"/>
        </w:rPr>
      </w:pPr>
      <w:r w:rsidRPr="00D74F5B">
        <w:rPr>
          <w:color w:val="000000" w:themeColor="text1"/>
          <w:sz w:val="24"/>
          <w:szCs w:val="24"/>
          <w:lang w:val="en-US"/>
        </w:rPr>
        <w:t>Br</w:t>
      </w:r>
      <w:r w:rsidRPr="00D74F5B">
        <w:rPr>
          <w:color w:val="000000" w:themeColor="text1"/>
          <w:sz w:val="24"/>
          <w:szCs w:val="24"/>
          <w:lang w:val="en-GB"/>
        </w:rPr>
        <w:t xml:space="preserve">own G.T.L., Xu Y. (2016). Teacher assessment literacy in practice: A reconceptualization. </w:t>
      </w:r>
      <w:r w:rsidRPr="00D74F5B">
        <w:rPr>
          <w:i/>
          <w:color w:val="000000" w:themeColor="text1"/>
          <w:sz w:val="24"/>
          <w:szCs w:val="24"/>
        </w:rPr>
        <w:t>Teaching and Teacher Education</w:t>
      </w:r>
      <w:r w:rsidRPr="00D74F5B">
        <w:rPr>
          <w:color w:val="000000" w:themeColor="text1"/>
          <w:sz w:val="24"/>
          <w:szCs w:val="24"/>
        </w:rPr>
        <w:t>, 58, 149-162.</w:t>
      </w:r>
    </w:p>
    <w:p w14:paraId="014F8125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color w:val="000000" w:themeColor="text1"/>
        </w:rPr>
        <w:t xml:space="preserve">Calonghi L. (1976). </w:t>
      </w:r>
      <w:r w:rsidRPr="00D74F5B">
        <w:rPr>
          <w:i/>
          <w:iCs/>
          <w:color w:val="000000" w:themeColor="text1"/>
        </w:rPr>
        <w:t>Valutazion</w:t>
      </w:r>
      <w:r w:rsidRPr="00D74F5B">
        <w:rPr>
          <w:color w:val="000000" w:themeColor="text1"/>
        </w:rPr>
        <w:t>e. La Scuola: Brescia.</w:t>
      </w:r>
    </w:p>
    <w:p w14:paraId="621A188B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Cardano M. (2003). </w:t>
      </w:r>
      <w:r w:rsidRPr="00D74F5B">
        <w:rPr>
          <w:rFonts w:eastAsia="Times New Roman"/>
          <w:i/>
          <w:color w:val="000000" w:themeColor="text1"/>
        </w:rPr>
        <w:t>Tecniche di ricerca qualitativa. Percorsi di ricerca nelle scienze sociali</w:t>
      </w:r>
      <w:r w:rsidRPr="00D74F5B">
        <w:rPr>
          <w:rFonts w:eastAsia="Times New Roman"/>
          <w:color w:val="000000" w:themeColor="text1"/>
        </w:rPr>
        <w:t>. Carocci editore: Roma.</w:t>
      </w:r>
    </w:p>
    <w:p w14:paraId="2BE565C5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  <w:highlight w:val="white"/>
        </w:rPr>
      </w:pPr>
      <w:r w:rsidRPr="00D74F5B">
        <w:rPr>
          <w:color w:val="000000" w:themeColor="text1"/>
        </w:rPr>
        <w:t xml:space="preserve">Corbetta P. (2003). </w:t>
      </w:r>
      <w:r w:rsidRPr="00D74F5B">
        <w:rPr>
          <w:i/>
          <w:iCs/>
          <w:color w:val="000000" w:themeColor="text1"/>
        </w:rPr>
        <w:t>La ricerca sociale: metodologia e tecniche</w:t>
      </w:r>
      <w:r w:rsidRPr="00D74F5B">
        <w:rPr>
          <w:color w:val="000000" w:themeColor="text1"/>
        </w:rPr>
        <w:t>. Il Mulino: Bologna.</w:t>
      </w:r>
    </w:p>
    <w:p w14:paraId="1A7E1248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  <w:highlight w:val="white"/>
        </w:rPr>
      </w:pPr>
      <w:r w:rsidRPr="00D74F5B">
        <w:rPr>
          <w:rFonts w:eastAsia="Times New Roman"/>
          <w:color w:val="000000" w:themeColor="text1"/>
          <w:highlight w:val="white"/>
        </w:rPr>
        <w:t xml:space="preserve">Corsini C. (2018). </w:t>
      </w:r>
      <w:r w:rsidRPr="00D74F5B">
        <w:rPr>
          <w:rFonts w:eastAsia="Times New Roman"/>
          <w:i/>
          <w:color w:val="000000" w:themeColor="text1"/>
          <w:highlight w:val="white"/>
        </w:rPr>
        <w:t>Rileggere Visalberghi</w:t>
      </w:r>
      <w:r w:rsidRPr="00D74F5B">
        <w:rPr>
          <w:rFonts w:eastAsia="Times New Roman"/>
          <w:color w:val="000000" w:themeColor="text1"/>
          <w:highlight w:val="white"/>
        </w:rPr>
        <w:t>. Nuova Cultura: Roma.</w:t>
      </w:r>
    </w:p>
    <w:p w14:paraId="71901438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  <w:highlight w:val="white"/>
        </w:rPr>
      </w:pPr>
      <w:r w:rsidRPr="00D74F5B">
        <w:rPr>
          <w:color w:val="000000" w:themeColor="text1"/>
        </w:rPr>
        <w:t xml:space="preserve">D’Amore B. (1999). </w:t>
      </w:r>
      <w:r w:rsidRPr="00D74F5B">
        <w:rPr>
          <w:i/>
          <w:iCs/>
          <w:color w:val="000000" w:themeColor="text1"/>
        </w:rPr>
        <w:t>Elementi di didattica della matematica</w:t>
      </w:r>
      <w:r w:rsidRPr="00D74F5B">
        <w:rPr>
          <w:color w:val="000000" w:themeColor="text1"/>
        </w:rPr>
        <w:t>. Pitagora editore: Bologna.</w:t>
      </w:r>
    </w:p>
    <w:p w14:paraId="3F648DCC" w14:textId="77777777" w:rsidR="00EB5B4D" w:rsidRPr="003674AE" w:rsidRDefault="00EB5B4D" w:rsidP="00CC0552">
      <w:pPr>
        <w:rPr>
          <w:rFonts w:eastAsia="Times New Roman"/>
          <w:color w:val="000000" w:themeColor="text1"/>
          <w:lang w:val="en-US"/>
        </w:rPr>
      </w:pPr>
      <w:r w:rsidRPr="003674AE">
        <w:rPr>
          <w:rFonts w:eastAsia="Times New Roman"/>
          <w:color w:val="000000" w:themeColor="text1"/>
        </w:rPr>
        <w:t xml:space="preserve">De Ketele, J-M. </w:t>
      </w:r>
      <w:r w:rsidRPr="00D74F5B">
        <w:rPr>
          <w:rFonts w:eastAsia="Times New Roman"/>
          <w:color w:val="000000" w:themeColor="text1"/>
          <w:lang w:val="en-US"/>
        </w:rPr>
        <w:t xml:space="preserve">(1982). </w:t>
      </w:r>
      <w:r w:rsidRPr="00D74F5B">
        <w:rPr>
          <w:rFonts w:eastAsia="Times New Roman"/>
          <w:i/>
          <w:color w:val="000000" w:themeColor="text1"/>
          <w:lang w:val="en-US"/>
        </w:rPr>
        <w:t>Docimologie: introduction aux concepts et aux pratiques</w:t>
      </w:r>
      <w:r w:rsidRPr="00D74F5B">
        <w:rPr>
          <w:rFonts w:eastAsia="Times New Roman"/>
          <w:color w:val="000000" w:themeColor="text1"/>
          <w:lang w:val="en-US"/>
        </w:rPr>
        <w:t xml:space="preserve">. </w:t>
      </w:r>
      <w:r w:rsidRPr="003674AE">
        <w:rPr>
          <w:rFonts w:eastAsia="Times New Roman"/>
          <w:color w:val="000000" w:themeColor="text1"/>
          <w:lang w:val="en-US"/>
        </w:rPr>
        <w:t>Louvain: Cabay.</w:t>
      </w:r>
    </w:p>
    <w:p w14:paraId="0FA0A2DB" w14:textId="77777777" w:rsidR="00EB5B4D" w:rsidRPr="00D74F5B" w:rsidRDefault="00EB5B4D" w:rsidP="006F3867">
      <w:pPr>
        <w:jc w:val="both"/>
        <w:rPr>
          <w:color w:val="000000" w:themeColor="text1"/>
          <w:lang w:val="en-US"/>
        </w:rPr>
      </w:pPr>
      <w:r w:rsidRPr="003674AE">
        <w:rPr>
          <w:color w:val="000000" w:themeColor="text1"/>
          <w:lang w:val="en-US"/>
        </w:rPr>
        <w:t>De Landsheere G. (1971). </w:t>
      </w:r>
      <w:r w:rsidRPr="003674AE">
        <w:rPr>
          <w:i/>
          <w:iCs/>
          <w:color w:val="000000" w:themeColor="text1"/>
          <w:lang w:val="en-US"/>
        </w:rPr>
        <w:t xml:space="preserve">Evaluation continue et examens. </w:t>
      </w:r>
      <w:r w:rsidRPr="00D74F5B">
        <w:rPr>
          <w:i/>
          <w:iCs/>
          <w:color w:val="000000" w:themeColor="text1"/>
          <w:lang w:val="en-US"/>
        </w:rPr>
        <w:t>Précis de docimologie</w:t>
      </w:r>
      <w:r w:rsidRPr="00D74F5B">
        <w:rPr>
          <w:color w:val="000000" w:themeColor="text1"/>
          <w:lang w:val="en-US"/>
        </w:rPr>
        <w:t>. Bruxelles: Labor.</w:t>
      </w:r>
    </w:p>
    <w:p w14:paraId="20945393" w14:textId="77777777" w:rsidR="00EB5B4D" w:rsidRPr="003674AE" w:rsidRDefault="00EB5B4D" w:rsidP="00044FDC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D74F5B">
        <w:rPr>
          <w:color w:val="000000" w:themeColor="text1"/>
          <w:lang w:val="en-US"/>
        </w:rPr>
        <w:t xml:space="preserve">DeLuca C., Johnson S. (2017). Developing assessment capable teachers in this age of accountability. </w:t>
      </w:r>
      <w:r w:rsidRPr="003674AE">
        <w:rPr>
          <w:i/>
          <w:color w:val="000000" w:themeColor="text1"/>
        </w:rPr>
        <w:t>Assessment Educational Principles Policy Practice</w:t>
      </w:r>
      <w:r w:rsidRPr="003674AE">
        <w:rPr>
          <w:color w:val="000000" w:themeColor="text1"/>
        </w:rPr>
        <w:t xml:space="preserve">. 24, pp. 121–126. </w:t>
      </w:r>
    </w:p>
    <w:p w14:paraId="7556E1BA" w14:textId="77777777" w:rsidR="00EB5B4D" w:rsidRPr="00932AA1" w:rsidRDefault="00EB5B4D" w:rsidP="00F016A3">
      <w:pPr>
        <w:jc w:val="both"/>
        <w:rPr>
          <w:rFonts w:eastAsia="Times New Roman"/>
        </w:rPr>
      </w:pPr>
      <w:r w:rsidRPr="00D74F5B">
        <w:rPr>
          <w:rFonts w:eastAsia="Times New Roman"/>
          <w:color w:val="000000" w:themeColor="text1"/>
        </w:rPr>
        <w:t>Demartini S., Ferrari A., Sbaragli S. (2020). L’architettura del testo scolastico di matematica per la scuola primaria e secondaria di p</w:t>
      </w:r>
      <w:r w:rsidRPr="00932AA1">
        <w:rPr>
          <w:rFonts w:eastAsia="Times New Roman"/>
        </w:rPr>
        <w:t xml:space="preserve">rimo grado. </w:t>
      </w:r>
      <w:r w:rsidRPr="00932AA1">
        <w:rPr>
          <w:rFonts w:eastAsia="Times New Roman"/>
          <w:i/>
        </w:rPr>
        <w:t>Italiano Lingua Due</w:t>
      </w:r>
      <w:r w:rsidRPr="00932AA1">
        <w:rPr>
          <w:rFonts w:eastAsia="Times New Roman"/>
        </w:rPr>
        <w:t>, 2, 160 – 180.</w:t>
      </w:r>
    </w:p>
    <w:p w14:paraId="211E86AC" w14:textId="77777777" w:rsidR="00EB5B4D" w:rsidRPr="00F016A3" w:rsidRDefault="00EB5B4D" w:rsidP="00F016A3">
      <w:pPr>
        <w:jc w:val="both"/>
        <w:rPr>
          <w:rFonts w:eastAsia="Times New Roman"/>
        </w:rPr>
      </w:pPr>
      <w:r w:rsidRPr="00932AA1">
        <w:rPr>
          <w:rFonts w:eastAsia="Times New Roman"/>
        </w:rPr>
        <w:t xml:space="preserve">Domenici G. (2003). </w:t>
      </w:r>
      <w:r w:rsidRPr="00932AA1">
        <w:rPr>
          <w:rFonts w:eastAsia="Times New Roman"/>
          <w:i/>
        </w:rPr>
        <w:t>Manuale della valutazione scolastica</w:t>
      </w:r>
      <w:r w:rsidRPr="00932AA1">
        <w:rPr>
          <w:rFonts w:eastAsia="Times New Roman"/>
        </w:rPr>
        <w:t>. Editori Laterza</w:t>
      </w:r>
      <w:r w:rsidRPr="00F016A3">
        <w:rPr>
          <w:rFonts w:eastAsia="Times New Roman"/>
        </w:rPr>
        <w:t>: Bari.</w:t>
      </w:r>
    </w:p>
    <w:p w14:paraId="2B212FC1" w14:textId="77777777" w:rsidR="00EB5B4D" w:rsidRPr="00044FDC" w:rsidRDefault="00EB5B4D" w:rsidP="00F016A3">
      <w:pPr>
        <w:jc w:val="both"/>
        <w:rPr>
          <w:rFonts w:eastAsia="Times New Roman"/>
        </w:rPr>
      </w:pPr>
      <w:r w:rsidRPr="006F3867">
        <w:rPr>
          <w:color w:val="000000"/>
          <w:lang w:val="en-US"/>
        </w:rPr>
        <w:t xml:space="preserve">Falardeau E. Dolz J., Dumortier J-L. (2016). </w:t>
      </w:r>
      <w:r w:rsidRPr="006F3867">
        <w:rPr>
          <w:i/>
          <w:iCs/>
          <w:color w:val="000000"/>
          <w:lang w:val="en-US"/>
        </w:rPr>
        <w:t>L’évaluation en classe de français, outil didactique et politique</w:t>
      </w:r>
      <w:r w:rsidRPr="006F3867">
        <w:rPr>
          <w:color w:val="000000"/>
          <w:lang w:val="en-US"/>
        </w:rPr>
        <w:t xml:space="preserve">. </w:t>
      </w:r>
      <w:r>
        <w:rPr>
          <w:color w:val="000000"/>
        </w:rPr>
        <w:t>Namur: PUN</w:t>
      </w:r>
      <w:r w:rsidRPr="00044FDC">
        <w:rPr>
          <w:color w:val="000000"/>
        </w:rPr>
        <w:t>.</w:t>
      </w:r>
      <w:r w:rsidRPr="00044FDC">
        <w:rPr>
          <w:rFonts w:ascii="MS Mincho" w:eastAsia="MS Mincho" w:hAnsi="MS Mincho" w:cs="MS Mincho"/>
          <w:color w:val="000000"/>
        </w:rPr>
        <w:t> </w:t>
      </w:r>
    </w:p>
    <w:p w14:paraId="3331CC97" w14:textId="77777777" w:rsidR="00EB5B4D" w:rsidRPr="00F016A3" w:rsidRDefault="00EB5B4D" w:rsidP="00F016A3">
      <w:pPr>
        <w:jc w:val="both"/>
        <w:rPr>
          <w:rFonts w:eastAsia="Times New Roman"/>
        </w:rPr>
      </w:pPr>
      <w:r w:rsidRPr="00044FDC">
        <w:rPr>
          <w:rFonts w:eastAsia="Times New Roman"/>
        </w:rPr>
        <w:t>Galli</w:t>
      </w:r>
      <w:r w:rsidRPr="00F016A3">
        <w:rPr>
          <w:rFonts w:eastAsia="Times New Roman"/>
        </w:rPr>
        <w:t xml:space="preserve">ani L. (2015). </w:t>
      </w:r>
      <w:r w:rsidRPr="00F016A3">
        <w:rPr>
          <w:rFonts w:eastAsia="Times New Roman"/>
          <w:i/>
        </w:rPr>
        <w:t>L’agire valutativo</w:t>
      </w:r>
      <w:r w:rsidRPr="00F016A3">
        <w:rPr>
          <w:rFonts w:eastAsia="Times New Roman"/>
        </w:rPr>
        <w:t xml:space="preserve">. </w:t>
      </w:r>
      <w:r w:rsidRPr="00F016A3">
        <w:rPr>
          <w:rFonts w:eastAsia="Times New Roman"/>
          <w:i/>
        </w:rPr>
        <w:t>Manuale per docenti e formatori</w:t>
      </w:r>
      <w:r w:rsidRPr="00F016A3">
        <w:rPr>
          <w:rFonts w:eastAsia="Times New Roman"/>
        </w:rPr>
        <w:t>. La Scuola: Milano.</w:t>
      </w:r>
    </w:p>
    <w:p w14:paraId="18828FA7" w14:textId="77777777" w:rsidR="00EB5B4D" w:rsidRPr="00F016A3" w:rsidRDefault="00EB5B4D" w:rsidP="00F016A3">
      <w:pPr>
        <w:jc w:val="both"/>
        <w:rPr>
          <w:rFonts w:eastAsia="Times New Roman"/>
        </w:rPr>
      </w:pPr>
      <w:r w:rsidRPr="00F016A3">
        <w:t xml:space="preserve">Gattullo M. (1968). </w:t>
      </w:r>
      <w:r w:rsidRPr="00F016A3">
        <w:rPr>
          <w:i/>
          <w:iCs/>
        </w:rPr>
        <w:t>Didattica e docimologia. Misurazione e valutazione nella scuola</w:t>
      </w:r>
      <w:r w:rsidRPr="00F016A3">
        <w:t>. Armando: Milano.</w:t>
      </w:r>
    </w:p>
    <w:p w14:paraId="63CDC87E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F016A3">
        <w:rPr>
          <w:rFonts w:eastAsia="Times New Roman"/>
        </w:rPr>
        <w:lastRenderedPageBreak/>
        <w:t xml:space="preserve">Grandinetti V., </w:t>
      </w:r>
      <w:r w:rsidRPr="00D74F5B">
        <w:rPr>
          <w:rFonts w:eastAsia="Times New Roman"/>
          <w:color w:val="000000" w:themeColor="text1"/>
        </w:rPr>
        <w:t xml:space="preserve">Mattiassich M., Pepe L. (2021). </w:t>
      </w:r>
      <w:r w:rsidRPr="00D74F5B">
        <w:rPr>
          <w:rFonts w:eastAsia="Times New Roman"/>
          <w:i/>
          <w:color w:val="000000" w:themeColor="text1"/>
        </w:rPr>
        <w:t>Che bello è Imparare. Il libro della matematica con quaderno operativo 1 e 2</w:t>
      </w:r>
      <w:r w:rsidRPr="00D74F5B">
        <w:rPr>
          <w:rFonts w:eastAsia="Times New Roman"/>
          <w:color w:val="000000" w:themeColor="text1"/>
        </w:rPr>
        <w:t>. Piccoli editore: Milano.</w:t>
      </w:r>
    </w:p>
    <w:p w14:paraId="6F89194D" w14:textId="428943A8" w:rsidR="00136C5D" w:rsidRPr="00D74F5B" w:rsidRDefault="00136C5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color w:val="000000" w:themeColor="text1"/>
        </w:rPr>
        <w:t xml:space="preserve">Grion, V., Restiglian, E. (2021). La valutazione fra pari nella scuola. Ragioni pedagogico-didattiche e potenzialità formative, </w:t>
      </w:r>
      <w:r w:rsidRPr="00D74F5B">
        <w:rPr>
          <w:i/>
          <w:iCs/>
          <w:color w:val="000000" w:themeColor="text1"/>
        </w:rPr>
        <w:t>Dida</w:t>
      </w:r>
      <w:r w:rsidRPr="00D74F5B">
        <w:rPr>
          <w:color w:val="000000" w:themeColor="text1"/>
        </w:rPr>
        <w:t xml:space="preserve">, 1, 8, 70-75. </w:t>
      </w:r>
    </w:p>
    <w:p w14:paraId="2D25CA05" w14:textId="77777777" w:rsidR="00EB5B4D" w:rsidRPr="00D74F5B" w:rsidRDefault="00EB5B4D" w:rsidP="00F016A3">
      <w:pPr>
        <w:jc w:val="both"/>
        <w:rPr>
          <w:color w:val="000000" w:themeColor="text1"/>
          <w:lang w:val="en-US"/>
        </w:rPr>
      </w:pPr>
      <w:r w:rsidRPr="00D74F5B">
        <w:rPr>
          <w:color w:val="000000" w:themeColor="text1"/>
        </w:rPr>
        <w:t>Ha</w:t>
      </w:r>
      <w:r w:rsidRPr="003674AE">
        <w:rPr>
          <w:color w:val="000000" w:themeColor="text1"/>
        </w:rPr>
        <w:t xml:space="preserve">ladyna T.M., Dowing S.M., Rodriguez M.C. (2002). </w:t>
      </w:r>
      <w:r w:rsidRPr="00D74F5B">
        <w:rPr>
          <w:color w:val="000000" w:themeColor="text1"/>
          <w:lang w:val="en-GB"/>
        </w:rPr>
        <w:t xml:space="preserve">A Review of Multiple-Choice Item-Writing Guidelines for Classroom Assessment. </w:t>
      </w:r>
      <w:r w:rsidRPr="00D74F5B">
        <w:rPr>
          <w:i/>
          <w:iCs/>
          <w:color w:val="000000" w:themeColor="text1"/>
          <w:lang w:val="en-US"/>
        </w:rPr>
        <w:t>Applied Measurement in Education</w:t>
      </w:r>
      <w:r w:rsidRPr="00D74F5B">
        <w:rPr>
          <w:color w:val="000000" w:themeColor="text1"/>
          <w:lang w:val="en-US"/>
        </w:rPr>
        <w:t>, 15, 309-334.</w:t>
      </w:r>
    </w:p>
    <w:p w14:paraId="1DC3DF56" w14:textId="77777777" w:rsidR="00EB5B4D" w:rsidRPr="00D74F5B" w:rsidRDefault="00EB5B4D" w:rsidP="00F016A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  <w:lang w:val="en-US"/>
        </w:rPr>
        <w:t>Haladyna, T.M. (1999). Developing and validating multiple-choice test items, 2</w:t>
      </w:r>
      <w:r w:rsidRPr="00D74F5B">
        <w:rPr>
          <w:rFonts w:eastAsia="Times New Roman"/>
          <w:color w:val="000000" w:themeColor="text1"/>
          <w:vertAlign w:val="superscript"/>
          <w:lang w:val="en-US"/>
        </w:rPr>
        <w:t>nd</w:t>
      </w:r>
      <w:r w:rsidRPr="00D74F5B">
        <w:rPr>
          <w:rFonts w:eastAsia="Times New Roman"/>
          <w:color w:val="000000" w:themeColor="text1"/>
          <w:lang w:val="en-US"/>
        </w:rPr>
        <w:t xml:space="preserve"> edition. </w:t>
      </w:r>
      <w:r w:rsidRPr="00D74F5B">
        <w:rPr>
          <w:rFonts w:eastAsia="Times New Roman"/>
          <w:color w:val="000000" w:themeColor="text1"/>
        </w:rPr>
        <w:t>Lawrence Erlbaum Associates.</w:t>
      </w:r>
    </w:p>
    <w:p w14:paraId="30388D2E" w14:textId="53DF0578" w:rsidR="002C5417" w:rsidRPr="00D74F5B" w:rsidRDefault="002C5417" w:rsidP="00EB5B4D">
      <w:pPr>
        <w:pStyle w:val="sricerc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74F5B">
        <w:rPr>
          <w:color w:val="000000" w:themeColor="text1"/>
        </w:rPr>
        <w:t xml:space="preserve">INVALSI (2022). </w:t>
      </w:r>
      <w:r w:rsidRPr="00D74F5B">
        <w:rPr>
          <w:i/>
          <w:color w:val="000000" w:themeColor="text1"/>
        </w:rPr>
        <w:t>Rapporto INVALSI 2022</w:t>
      </w:r>
      <w:r w:rsidRPr="00D74F5B">
        <w:rPr>
          <w:color w:val="000000" w:themeColor="text1"/>
        </w:rPr>
        <w:t xml:space="preserve"> - </w:t>
      </w:r>
      <w:hyperlink r:id="rId15" w:history="1">
        <w:r w:rsidRPr="00D74F5B">
          <w:rPr>
            <w:rStyle w:val="Collegamentoipertestuale"/>
            <w:color w:val="000000" w:themeColor="text1"/>
          </w:rPr>
          <w:t>https://invalsi-areaprove.cineca.it/docs/2022/Rilevazioni_Nazionali/Rapporto/Rapporto_Prove_INVALSI_2022.pdf</w:t>
        </w:r>
      </w:hyperlink>
    </w:p>
    <w:p w14:paraId="7E5B9E96" w14:textId="77777777" w:rsidR="00EB5B4D" w:rsidRPr="00D74F5B" w:rsidRDefault="00EB5B4D" w:rsidP="00EB5B4D">
      <w:pPr>
        <w:pStyle w:val="sricerc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74F5B">
        <w:rPr>
          <w:color w:val="000000" w:themeColor="text1"/>
        </w:rPr>
        <w:t>Laneve C</w:t>
      </w:r>
      <w:r w:rsidRPr="00D74F5B">
        <w:rPr>
          <w:i/>
          <w:color w:val="000000" w:themeColor="text1"/>
        </w:rPr>
        <w:t xml:space="preserve">. </w:t>
      </w:r>
      <w:r w:rsidRPr="00D74F5B">
        <w:rPr>
          <w:color w:val="000000" w:themeColor="text1"/>
        </w:rPr>
        <w:t>(a cura di)</w:t>
      </w:r>
      <w:r w:rsidRPr="00D74F5B">
        <w:rPr>
          <w:i/>
          <w:color w:val="000000" w:themeColor="text1"/>
        </w:rPr>
        <w:t>, Dentro il “fare scuola”. Sguardi plurali sulle pratiche educative</w:t>
      </w:r>
      <w:r w:rsidRPr="00D74F5B">
        <w:rPr>
          <w:color w:val="000000" w:themeColor="text1"/>
        </w:rPr>
        <w:t>. Brescia: La Scuola.</w:t>
      </w:r>
    </w:p>
    <w:p w14:paraId="1BDFD11D" w14:textId="77777777" w:rsidR="00EB5B4D" w:rsidRPr="00D74F5B" w:rsidRDefault="00EB5B4D" w:rsidP="00EB5B4D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Menichetti L., Pellegrini M., Gola G. (2019). Cornici mentali e stereotipie didattiche nella formazione degli insegnanti. </w:t>
      </w:r>
      <w:r w:rsidRPr="00D74F5B">
        <w:rPr>
          <w:rFonts w:eastAsia="Times New Roman"/>
          <w:i/>
          <w:color w:val="000000" w:themeColor="text1"/>
        </w:rPr>
        <w:t>Formazione &amp; Insegnamento</w:t>
      </w:r>
      <w:r w:rsidRPr="00D74F5B">
        <w:rPr>
          <w:rFonts w:eastAsia="Times New Roman"/>
          <w:color w:val="000000" w:themeColor="text1"/>
        </w:rPr>
        <w:t>, 17, 351 – 374.</w:t>
      </w:r>
    </w:p>
    <w:p w14:paraId="7465F94F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Ministero dell’Istruzione, dell’Università e della Ricerca (2012). Indicazioni nazionali per il curricolo della scuola dell’infanzia e del primo ciclo d’istruzione. </w:t>
      </w:r>
      <w:r w:rsidRPr="00D74F5B">
        <w:rPr>
          <w:rFonts w:eastAsia="Times New Roman"/>
          <w:i/>
          <w:color w:val="000000" w:themeColor="text1"/>
        </w:rPr>
        <w:t>Annali della Pubblica Istruzione</w:t>
      </w:r>
      <w:r w:rsidRPr="00D74F5B">
        <w:rPr>
          <w:rFonts w:eastAsia="Times New Roman"/>
          <w:color w:val="000000" w:themeColor="text1"/>
        </w:rPr>
        <w:t>, numero speciale, a. LXXXVIII.</w:t>
      </w:r>
    </w:p>
    <w:p w14:paraId="7E941241" w14:textId="5B26A3A9" w:rsidR="00645285" w:rsidRPr="00D74F5B" w:rsidRDefault="00645285" w:rsidP="00EB5B4D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Montalbetti, K. (2020). Apprendere la competenza valutativa a scuola: un asset strategico per la vita, </w:t>
      </w:r>
      <w:r w:rsidRPr="00D74F5B">
        <w:rPr>
          <w:rFonts w:eastAsia="Times New Roman"/>
          <w:i/>
          <w:color w:val="000000" w:themeColor="text1"/>
        </w:rPr>
        <w:t>Giornale Italiano della Ricerca Educativa</w:t>
      </w:r>
      <w:r w:rsidRPr="00D74F5B">
        <w:rPr>
          <w:rFonts w:eastAsia="Times New Roman"/>
          <w:color w:val="000000" w:themeColor="text1"/>
        </w:rPr>
        <w:t>, (24), 54-66.</w:t>
      </w:r>
    </w:p>
    <w:p w14:paraId="071A3940" w14:textId="77777777" w:rsidR="00EB5B4D" w:rsidRPr="003674AE" w:rsidRDefault="00EB5B4D" w:rsidP="00EB5B4D">
      <w:pPr>
        <w:jc w:val="both"/>
        <w:rPr>
          <w:rFonts w:eastAsia="Times New Roman"/>
          <w:color w:val="000000" w:themeColor="text1"/>
          <w:lang w:val="en-US"/>
        </w:rPr>
      </w:pPr>
      <w:r w:rsidRPr="003674AE">
        <w:rPr>
          <w:color w:val="000000" w:themeColor="text1"/>
          <w:lang w:val="en-US"/>
        </w:rPr>
        <w:t xml:space="preserve">Mottier Lopez L. (2015). </w:t>
      </w:r>
      <w:r w:rsidRPr="003674AE">
        <w:rPr>
          <w:i/>
          <w:iCs/>
          <w:color w:val="000000" w:themeColor="text1"/>
          <w:lang w:val="en-US"/>
        </w:rPr>
        <w:t>Évaluation formative et certificative des apprentissages</w:t>
      </w:r>
      <w:r w:rsidRPr="003674AE">
        <w:rPr>
          <w:color w:val="000000" w:themeColor="text1"/>
          <w:lang w:val="en-US"/>
        </w:rPr>
        <w:t>. Bruxelles: De Boeck, 2015.</w:t>
      </w:r>
    </w:p>
    <w:p w14:paraId="1412EEF2" w14:textId="77777777" w:rsidR="00EB5B4D" w:rsidRPr="00D74F5B" w:rsidRDefault="00EB5B4D" w:rsidP="00F016A3">
      <w:pPr>
        <w:pStyle w:val="NormaleWeb"/>
        <w:spacing w:before="0" w:beforeAutospacing="0" w:after="0" w:afterAutospacing="0"/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Nadri E. (2004). Come costruire prove di elevata complessità. </w:t>
      </w:r>
      <w:r w:rsidRPr="00D74F5B">
        <w:rPr>
          <w:rFonts w:eastAsia="Times New Roman"/>
          <w:i/>
          <w:color w:val="000000" w:themeColor="text1"/>
        </w:rPr>
        <w:t>Cadmo</w:t>
      </w:r>
      <w:r w:rsidRPr="00D74F5B">
        <w:rPr>
          <w:rFonts w:eastAsia="Times New Roman"/>
          <w:color w:val="000000" w:themeColor="text1"/>
        </w:rPr>
        <w:t>, XIV, 1, pp. 43-61.</w:t>
      </w:r>
    </w:p>
    <w:p w14:paraId="35657136" w14:textId="14160D39" w:rsidR="00EB5B4D" w:rsidRPr="00D74F5B" w:rsidRDefault="00EB5B4D" w:rsidP="00EB5B4D">
      <w:pPr>
        <w:jc w:val="both"/>
        <w:rPr>
          <w:color w:val="000000" w:themeColor="text1"/>
        </w:rPr>
      </w:pPr>
      <w:r w:rsidRPr="00D74F5B">
        <w:rPr>
          <w:iCs/>
          <w:color w:val="000000" w:themeColor="text1"/>
        </w:rPr>
        <w:t xml:space="preserve">Perla L. (2019) (a cura di). </w:t>
      </w:r>
      <w:r w:rsidRPr="00D74F5B">
        <w:rPr>
          <w:i/>
          <w:iCs/>
          <w:color w:val="000000" w:themeColor="text1"/>
        </w:rPr>
        <w:t>Valutare per valorizzare. La documentazione per il miglioramento di scuola, insegnanti, studenti</w:t>
      </w:r>
      <w:r w:rsidRPr="00D74F5B">
        <w:rPr>
          <w:iCs/>
          <w:color w:val="000000" w:themeColor="text1"/>
        </w:rPr>
        <w:t>.</w:t>
      </w:r>
      <w:r w:rsidRPr="00D74F5B">
        <w:rPr>
          <w:rFonts w:ascii="OpenSansCondensed-Bold" w:hAnsi="OpenSansCondensed-Bold" w:cs="OpenSansCondensed-Bold"/>
          <w:b/>
          <w:bCs/>
          <w:color w:val="000000" w:themeColor="text1"/>
        </w:rPr>
        <w:t xml:space="preserve"> </w:t>
      </w:r>
      <w:r w:rsidR="00CB1AF3">
        <w:rPr>
          <w:iCs/>
          <w:color w:val="000000" w:themeColor="text1"/>
        </w:rPr>
        <w:t>Milano: Morcellian</w:t>
      </w:r>
      <w:r w:rsidRPr="00D74F5B">
        <w:rPr>
          <w:iCs/>
          <w:color w:val="000000" w:themeColor="text1"/>
        </w:rPr>
        <w:t>a.</w:t>
      </w:r>
    </w:p>
    <w:p w14:paraId="0FB50068" w14:textId="77777777" w:rsidR="00EB5B4D" w:rsidRPr="00D74F5B" w:rsidRDefault="00EB5B4D" w:rsidP="00F016A3">
      <w:pPr>
        <w:pStyle w:val="NormaleWeb"/>
        <w:spacing w:before="0" w:beforeAutospacing="0" w:after="0" w:afterAutospacing="0"/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Rodriguez, M. C., Kettler, R. J., &amp; Elliott, S. N. (2014). </w:t>
      </w:r>
      <w:r w:rsidRPr="003674AE">
        <w:rPr>
          <w:rFonts w:eastAsia="Times New Roman"/>
          <w:color w:val="000000" w:themeColor="text1"/>
          <w:lang w:val="en-US"/>
        </w:rPr>
        <w:t>Distractor functioning in modif</w:t>
      </w:r>
      <w:r w:rsidRPr="00D74F5B">
        <w:rPr>
          <w:rFonts w:eastAsia="Times New Roman"/>
          <w:color w:val="000000" w:themeColor="text1"/>
          <w:lang w:val="en-US"/>
        </w:rPr>
        <w:t xml:space="preserve">ied items for test accessibility. </w:t>
      </w:r>
      <w:r w:rsidRPr="00D74F5B">
        <w:rPr>
          <w:rFonts w:eastAsia="Times New Roman"/>
          <w:color w:val="000000" w:themeColor="text1"/>
        </w:rPr>
        <w:t xml:space="preserve">SAGE Open, 4(4), 2158244014553586. </w:t>
      </w:r>
    </w:p>
    <w:p w14:paraId="2DDD5CD1" w14:textId="77777777" w:rsidR="00EB5B4D" w:rsidRPr="003674AE" w:rsidRDefault="00EB5B4D" w:rsidP="00044FDC">
      <w:pPr>
        <w:jc w:val="both"/>
        <w:rPr>
          <w:rFonts w:eastAsia="Times New Roman"/>
          <w:color w:val="000000" w:themeColor="text1"/>
        </w:rPr>
      </w:pPr>
      <w:r w:rsidRPr="00D74F5B">
        <w:rPr>
          <w:rFonts w:eastAsia="Times New Roman"/>
          <w:color w:val="000000" w:themeColor="text1"/>
        </w:rPr>
        <w:t xml:space="preserve">Sabena C., Ferri F., Martignone F., Robotti E. (2019). </w:t>
      </w:r>
      <w:r w:rsidRPr="00D74F5B">
        <w:rPr>
          <w:rFonts w:eastAsia="Times New Roman"/>
          <w:i/>
          <w:color w:val="000000" w:themeColor="text1"/>
        </w:rPr>
        <w:t xml:space="preserve">Insegnare e apprendere la matematica nella scuola dell’infanzia e primaria. </w:t>
      </w:r>
      <w:r w:rsidRPr="003674AE">
        <w:rPr>
          <w:rFonts w:eastAsia="Times New Roman"/>
          <w:color w:val="000000" w:themeColor="text1"/>
        </w:rPr>
        <w:t xml:space="preserve">Mondadori Education: Milano. </w:t>
      </w:r>
    </w:p>
    <w:p w14:paraId="203E78E6" w14:textId="77777777" w:rsidR="00EB5B4D" w:rsidRPr="00677132" w:rsidRDefault="00EB5B4D" w:rsidP="00F016A3">
      <w:pPr>
        <w:jc w:val="both"/>
        <w:rPr>
          <w:rFonts w:eastAsia="Times New Roman"/>
        </w:rPr>
      </w:pPr>
      <w:r w:rsidRPr="00D74F5B">
        <w:rPr>
          <w:rFonts w:eastAsia="Times New Roman"/>
          <w:color w:val="000000" w:themeColor="text1"/>
        </w:rPr>
        <w:t xml:space="preserve">Sbaragli S. (2006). Le misconcezioni in aula in Boselli G., Seganti M. </w:t>
      </w:r>
      <w:r w:rsidRPr="00D74F5B">
        <w:rPr>
          <w:rFonts w:eastAsia="Times New Roman"/>
          <w:i/>
          <w:color w:val="000000" w:themeColor="text1"/>
        </w:rPr>
        <w:t>Dal pensare delle scuole: riforme</w:t>
      </w:r>
      <w:r w:rsidRPr="00D74F5B">
        <w:rPr>
          <w:rFonts w:eastAsia="Times New Roman"/>
          <w:color w:val="000000" w:themeColor="text1"/>
        </w:rPr>
        <w:t>, Armando Editore: Roma</w:t>
      </w:r>
      <w:r w:rsidRPr="00677132">
        <w:rPr>
          <w:rFonts w:eastAsia="Times New Roman"/>
        </w:rPr>
        <w:t>.</w:t>
      </w:r>
    </w:p>
    <w:p w14:paraId="17B0C129" w14:textId="3DF19D2B" w:rsidR="00EB5B4D" w:rsidRPr="003674AE" w:rsidRDefault="00EB5B4D" w:rsidP="00F016A3">
      <w:pPr>
        <w:jc w:val="both"/>
        <w:rPr>
          <w:lang w:val="en-US"/>
        </w:rPr>
      </w:pPr>
      <w:r w:rsidRPr="00677132">
        <w:t>Sbaragli S. (2012). Il ruolo delle misconcezioni n</w:t>
      </w:r>
      <w:r w:rsidR="009B3F8B">
        <w:t xml:space="preserve">ella didattica della matematica, </w:t>
      </w:r>
      <w:r w:rsidRPr="00677132">
        <w:t xml:space="preserve">in </w:t>
      </w:r>
      <w:r w:rsidR="009B3F8B">
        <w:t xml:space="preserve">B. </w:t>
      </w:r>
      <w:r w:rsidRPr="00677132">
        <w:t xml:space="preserve">Bolondi, </w:t>
      </w:r>
      <w:r w:rsidR="009B3F8B" w:rsidRPr="00677132">
        <w:t xml:space="preserve">M.I. </w:t>
      </w:r>
      <w:r w:rsidR="009B3F8B">
        <w:t xml:space="preserve">Fandino Pinilla, </w:t>
      </w:r>
      <w:r w:rsidRPr="00677132">
        <w:rPr>
          <w:i/>
          <w:iCs/>
        </w:rPr>
        <w:t xml:space="preserve">I quaderni della didattica. Metodi e strumenti per l’insegnamento e l’apprendimento della </w:t>
      </w:r>
      <w:r w:rsidRPr="008A5029">
        <w:rPr>
          <w:i/>
          <w:iCs/>
        </w:rPr>
        <w:t>matematica</w:t>
      </w:r>
      <w:r w:rsidR="009B3F8B" w:rsidRPr="008A5029">
        <w:rPr>
          <w:i/>
          <w:iCs/>
        </w:rPr>
        <w:t xml:space="preserve"> </w:t>
      </w:r>
      <w:r w:rsidR="009B3F8B" w:rsidRPr="008A5029">
        <w:rPr>
          <w:iCs/>
        </w:rPr>
        <w:t xml:space="preserve">(pp. </w:t>
      </w:r>
      <w:r w:rsidR="008A5029" w:rsidRPr="008A5029">
        <w:rPr>
          <w:iCs/>
        </w:rPr>
        <w:t>121-139</w:t>
      </w:r>
      <w:r w:rsidR="009B3F8B" w:rsidRPr="008A5029">
        <w:rPr>
          <w:iCs/>
        </w:rPr>
        <w:t>)</w:t>
      </w:r>
      <w:r w:rsidRPr="008A5029">
        <w:t xml:space="preserve">. </w:t>
      </w:r>
      <w:r w:rsidRPr="003674AE">
        <w:rPr>
          <w:lang w:val="en-US"/>
        </w:rPr>
        <w:t>Edides: Napoli.</w:t>
      </w:r>
    </w:p>
    <w:p w14:paraId="72EEFECF" w14:textId="77777777" w:rsidR="00EB5B4D" w:rsidRPr="00044FDC" w:rsidRDefault="00EB5B4D" w:rsidP="00F016A3">
      <w:pPr>
        <w:jc w:val="both"/>
        <w:rPr>
          <w:rFonts w:eastAsia="Times New Roman"/>
          <w:color w:val="000000" w:themeColor="text1"/>
          <w:lang w:val="en-US"/>
        </w:rPr>
      </w:pPr>
      <w:r w:rsidRPr="00044FDC">
        <w:rPr>
          <w:rFonts w:eastAsia="Times New Roman"/>
          <w:color w:val="000000" w:themeColor="text1"/>
          <w:lang w:val="en-US"/>
        </w:rPr>
        <w:t xml:space="preserve">Shepard l. (2021). Ambitious teaching and equitable assessment. </w:t>
      </w:r>
      <w:r w:rsidRPr="00044FDC">
        <w:rPr>
          <w:rFonts w:eastAsia="Times New Roman"/>
          <w:color w:val="000000" w:themeColor="text1"/>
          <w:shd w:val="clear" w:color="auto" w:fill="FFFFFF"/>
          <w:lang w:val="en-US"/>
        </w:rPr>
        <w:t xml:space="preserve">A Vision for Prioritizing Learning, Not Testing. </w:t>
      </w:r>
      <w:r w:rsidRPr="00044FDC">
        <w:rPr>
          <w:rFonts w:eastAsia="Times New Roman"/>
          <w:i/>
          <w:color w:val="000000" w:themeColor="text1"/>
          <w:shd w:val="clear" w:color="auto" w:fill="FFFFFF"/>
          <w:lang w:val="en-US"/>
        </w:rPr>
        <w:t>American Educator</w:t>
      </w:r>
      <w:r>
        <w:rPr>
          <w:rFonts w:eastAsia="Times New Roman"/>
          <w:color w:val="000000" w:themeColor="text1"/>
          <w:shd w:val="clear" w:color="auto" w:fill="FFFFFF"/>
          <w:lang w:val="en-US"/>
        </w:rPr>
        <w:t xml:space="preserve">, 45(3), </w:t>
      </w:r>
      <w:r w:rsidRPr="00044FDC">
        <w:rPr>
          <w:rFonts w:eastAsia="Times New Roman"/>
          <w:color w:val="000000" w:themeColor="text1"/>
          <w:shd w:val="clear" w:color="auto" w:fill="FFFFFF"/>
          <w:lang w:val="en-US"/>
        </w:rPr>
        <w:t>pp. 23-37.</w:t>
      </w:r>
    </w:p>
    <w:p w14:paraId="55B23EE3" w14:textId="77777777" w:rsidR="00EB5B4D" w:rsidRPr="00D74F5B" w:rsidRDefault="00EB5B4D" w:rsidP="00BE0D95">
      <w:pPr>
        <w:jc w:val="both"/>
        <w:rPr>
          <w:rFonts w:eastAsia="Times New Roman"/>
          <w:color w:val="000000" w:themeColor="text1"/>
          <w:lang w:val="en-GB"/>
        </w:rPr>
      </w:pPr>
      <w:r w:rsidRPr="00044FDC">
        <w:rPr>
          <w:rFonts w:eastAsia="Times New Roman"/>
          <w:color w:val="000000" w:themeColor="text1"/>
          <w:lang w:val="en-GB"/>
        </w:rPr>
        <w:t xml:space="preserve">Simsek A. (2016). A comparative analysis of common mistakes in achievement tests prepared by school </w:t>
      </w:r>
      <w:r w:rsidRPr="00D74F5B">
        <w:rPr>
          <w:rFonts w:eastAsia="Times New Roman"/>
          <w:color w:val="000000" w:themeColor="text1"/>
          <w:lang w:val="en-GB"/>
        </w:rPr>
        <w:t xml:space="preserve">teachers and corporate trainers. </w:t>
      </w:r>
      <w:r w:rsidRPr="00D74F5B">
        <w:rPr>
          <w:rFonts w:eastAsia="Times New Roman"/>
          <w:i/>
          <w:color w:val="000000" w:themeColor="text1"/>
          <w:lang w:val="en-GB"/>
        </w:rPr>
        <w:t>European Journal of Science and Mathematics Education</w:t>
      </w:r>
      <w:r w:rsidRPr="00D74F5B">
        <w:rPr>
          <w:rFonts w:eastAsia="Times New Roman"/>
          <w:color w:val="000000" w:themeColor="text1"/>
          <w:lang w:val="en-GB"/>
        </w:rPr>
        <w:t>, 4, 477- 489.</w:t>
      </w:r>
    </w:p>
    <w:p w14:paraId="322375B0" w14:textId="77777777" w:rsidR="00EB5B4D" w:rsidRPr="00D74F5B" w:rsidRDefault="00EB5B4D" w:rsidP="00F016A3">
      <w:pPr>
        <w:jc w:val="both"/>
        <w:rPr>
          <w:rFonts w:eastAsia="Times New Roman"/>
          <w:color w:val="000000" w:themeColor="text1"/>
          <w:lang w:val="en-GB"/>
        </w:rPr>
      </w:pPr>
      <w:r w:rsidRPr="00D74F5B">
        <w:rPr>
          <w:rFonts w:eastAsia="Times New Roman"/>
          <w:color w:val="000000" w:themeColor="text1"/>
          <w:lang w:val="en-US"/>
        </w:rPr>
        <w:t xml:space="preserve">Solihatun S., Rangka I.B., Ratnasari D. et al. (2018). </w:t>
      </w:r>
      <w:r w:rsidRPr="00D74F5B">
        <w:rPr>
          <w:rFonts w:eastAsia="Times New Roman"/>
          <w:color w:val="000000" w:themeColor="text1"/>
          <w:lang w:val="en-GB"/>
        </w:rPr>
        <w:t xml:space="preserve">Measuring of student learning performance based on geometry test for middle class in elementary school using dichotomous Rasch analysis. </w:t>
      </w:r>
      <w:r w:rsidRPr="00D74F5B">
        <w:rPr>
          <w:rFonts w:eastAsia="Times New Roman"/>
          <w:i/>
          <w:color w:val="000000" w:themeColor="text1"/>
          <w:lang w:val="en-GB"/>
        </w:rPr>
        <w:t>Journal of Physics: Conf. Series</w:t>
      </w:r>
      <w:r w:rsidRPr="00D74F5B">
        <w:rPr>
          <w:rFonts w:eastAsia="Times New Roman"/>
          <w:color w:val="000000" w:themeColor="text1"/>
          <w:lang w:val="en-GB"/>
        </w:rPr>
        <w:t>, 1157 - doi:10.1088/1742-6596/1157/3/032086.</w:t>
      </w:r>
    </w:p>
    <w:p w14:paraId="1566B802" w14:textId="77777777" w:rsidR="00EB5B4D" w:rsidRPr="00044FDC" w:rsidRDefault="00EB5B4D" w:rsidP="00F016A3">
      <w:pPr>
        <w:jc w:val="both"/>
        <w:rPr>
          <w:lang w:val="en-GB"/>
        </w:rPr>
      </w:pPr>
      <w:r w:rsidRPr="00D74F5B">
        <w:rPr>
          <w:color w:val="000000" w:themeColor="text1"/>
          <w:lang w:val="en-US"/>
        </w:rPr>
        <w:t xml:space="preserve">Stiggins R. J. (1988). </w:t>
      </w:r>
      <w:r w:rsidRPr="00D74F5B">
        <w:rPr>
          <w:color w:val="000000" w:themeColor="text1"/>
          <w:lang w:val="en-GB"/>
        </w:rPr>
        <w:t xml:space="preserve">Revitalizing Classroom Assessment: The Highest Instructional Priority. </w:t>
      </w:r>
      <w:r w:rsidRPr="00D74F5B">
        <w:rPr>
          <w:i/>
          <w:iCs/>
          <w:color w:val="000000" w:themeColor="text1"/>
          <w:lang w:val="en-GB"/>
        </w:rPr>
        <w:t>The Phi Delta Kappan</w:t>
      </w:r>
      <w:r w:rsidRPr="00D74F5B">
        <w:rPr>
          <w:color w:val="000000" w:themeColor="text1"/>
          <w:lang w:val="en-GB"/>
        </w:rPr>
        <w:t>, 69</w:t>
      </w:r>
      <w:r w:rsidRPr="00044FDC">
        <w:rPr>
          <w:lang w:val="en-GB"/>
        </w:rPr>
        <w:t>, 363-368.</w:t>
      </w:r>
    </w:p>
    <w:p w14:paraId="20ADDAC1" w14:textId="77777777" w:rsidR="00EB5B4D" w:rsidRPr="00044FDC" w:rsidRDefault="00EB5B4D" w:rsidP="00F016A3">
      <w:pPr>
        <w:jc w:val="both"/>
        <w:rPr>
          <w:lang w:val="en-GB"/>
        </w:rPr>
      </w:pPr>
      <w:r w:rsidRPr="00044FDC">
        <w:rPr>
          <w:lang w:val="en-GB"/>
        </w:rPr>
        <w:t xml:space="preserve">Stiggins R. J. (1993). </w:t>
      </w:r>
      <w:r w:rsidRPr="00044FDC">
        <w:rPr>
          <w:rFonts w:eastAsia="Times New Roman"/>
          <w:lang w:val="en-GB"/>
        </w:rPr>
        <w:t>2. Teacher Training in Assessment: Overcoming The Neglect. Teacher Training in Measurement and Assessment Skills, 3, pp. 27-40.</w:t>
      </w:r>
    </w:p>
    <w:p w14:paraId="48ADD02A" w14:textId="77777777" w:rsidR="00EB5B4D" w:rsidRPr="00044FDC" w:rsidRDefault="00EB5B4D" w:rsidP="00F016A3">
      <w:pPr>
        <w:jc w:val="both"/>
        <w:rPr>
          <w:rFonts w:eastAsia="Times New Roman"/>
          <w:lang w:val="en-US"/>
        </w:rPr>
      </w:pPr>
      <w:r w:rsidRPr="00044FDC">
        <w:rPr>
          <w:lang w:val="en-GB"/>
        </w:rPr>
        <w:t xml:space="preserve">Stiggins R. J. (2010). Essential formative assessment competencies for teachers and school leaders in Andrade H.L., Cizek G. J. (eds), </w:t>
      </w:r>
      <w:r w:rsidRPr="00044FDC">
        <w:rPr>
          <w:i/>
          <w:iCs/>
          <w:lang w:val="en-GB"/>
        </w:rPr>
        <w:t>Handbook of formative assessment</w:t>
      </w:r>
      <w:r w:rsidRPr="00044FDC">
        <w:rPr>
          <w:lang w:val="en-GB"/>
        </w:rPr>
        <w:t xml:space="preserve">. </w:t>
      </w:r>
      <w:r w:rsidRPr="00044FDC">
        <w:rPr>
          <w:lang w:val="en-US"/>
        </w:rPr>
        <w:t>Taylor &amp; Francis: New York.</w:t>
      </w:r>
    </w:p>
    <w:p w14:paraId="4F17C1FC" w14:textId="77777777" w:rsidR="00EB5B4D" w:rsidRPr="00445811" w:rsidRDefault="00EB5B4D" w:rsidP="00F016A3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Strauss, A., </w:t>
      </w:r>
      <w:r w:rsidRPr="00044FDC">
        <w:rPr>
          <w:color w:val="000000"/>
          <w:sz w:val="26"/>
          <w:szCs w:val="26"/>
          <w:lang w:val="en-US"/>
        </w:rPr>
        <w:t>Corbin, J. (1998). Basics of qualitative research: Techniques and procedures for developing</w:t>
      </w:r>
      <w:r w:rsidRPr="00F016A3">
        <w:rPr>
          <w:color w:val="000000"/>
          <w:sz w:val="26"/>
          <w:szCs w:val="26"/>
          <w:lang w:val="en-US"/>
        </w:rPr>
        <w:t xml:space="preserve"> grounded theory (2nd ed.). </w:t>
      </w:r>
      <w:r w:rsidRPr="00445811">
        <w:rPr>
          <w:color w:val="000000"/>
          <w:sz w:val="26"/>
          <w:szCs w:val="26"/>
        </w:rPr>
        <w:t>London: Sage.</w:t>
      </w:r>
      <w:r w:rsidRPr="00445811">
        <w:rPr>
          <w:rFonts w:ascii="MS Mincho" w:eastAsia="MS Mincho" w:hAnsi="MS Mincho" w:cs="MS Mincho"/>
          <w:color w:val="000000"/>
          <w:sz w:val="26"/>
          <w:szCs w:val="26"/>
        </w:rPr>
        <w:t> </w:t>
      </w:r>
    </w:p>
    <w:p w14:paraId="5D79BB82" w14:textId="77777777" w:rsidR="00EB5B4D" w:rsidRPr="00F016A3" w:rsidRDefault="00EB5B4D" w:rsidP="00F016A3">
      <w:pPr>
        <w:pStyle w:val="Testonotaapidipagina"/>
        <w:jc w:val="both"/>
        <w:rPr>
          <w:sz w:val="24"/>
          <w:szCs w:val="24"/>
        </w:rPr>
      </w:pPr>
      <w:r w:rsidRPr="00F016A3">
        <w:rPr>
          <w:sz w:val="24"/>
          <w:szCs w:val="24"/>
        </w:rPr>
        <w:lastRenderedPageBreak/>
        <w:t xml:space="preserve">Vertecchi B. (2003). </w:t>
      </w:r>
      <w:r w:rsidRPr="00F016A3">
        <w:rPr>
          <w:i/>
          <w:iCs/>
          <w:sz w:val="24"/>
          <w:szCs w:val="24"/>
        </w:rPr>
        <w:t>Manuale della valutazione: analisi degli apprendimenti e dei contesti</w:t>
      </w:r>
      <w:r w:rsidRPr="00F016A3">
        <w:rPr>
          <w:sz w:val="24"/>
          <w:szCs w:val="24"/>
        </w:rPr>
        <w:t>. FrancoAngeli: Milano.</w:t>
      </w:r>
    </w:p>
    <w:p w14:paraId="221B57B3" w14:textId="77777777" w:rsidR="00EB5B4D" w:rsidRPr="00044FDC" w:rsidRDefault="00EB5B4D" w:rsidP="00F016A3">
      <w:pPr>
        <w:pStyle w:val="Testonotaapidipagina"/>
        <w:jc w:val="both"/>
        <w:rPr>
          <w:sz w:val="24"/>
          <w:szCs w:val="24"/>
        </w:rPr>
      </w:pPr>
      <w:r w:rsidRPr="00F016A3">
        <w:rPr>
          <w:sz w:val="24"/>
          <w:szCs w:val="24"/>
        </w:rPr>
        <w:t xml:space="preserve">Visalberghi A. (1955). </w:t>
      </w:r>
      <w:r w:rsidRPr="00F016A3">
        <w:rPr>
          <w:i/>
          <w:iCs/>
          <w:sz w:val="24"/>
          <w:szCs w:val="24"/>
        </w:rPr>
        <w:t>Misurazione e valutazione del processo educativo</w:t>
      </w:r>
      <w:r w:rsidRPr="00F016A3">
        <w:rPr>
          <w:sz w:val="24"/>
          <w:szCs w:val="24"/>
        </w:rPr>
        <w:t xml:space="preserve">. Edizioni di Comunità: </w:t>
      </w:r>
      <w:r w:rsidRPr="00044FDC">
        <w:rPr>
          <w:sz w:val="24"/>
          <w:szCs w:val="24"/>
        </w:rPr>
        <w:t>Milano.</w:t>
      </w:r>
    </w:p>
    <w:p w14:paraId="0E002FF8" w14:textId="77777777" w:rsidR="00EB5B4D" w:rsidRPr="00932AA1" w:rsidRDefault="00EB5B4D" w:rsidP="00932AA1">
      <w:pPr>
        <w:pStyle w:val="NormaleWeb"/>
        <w:spacing w:before="0" w:beforeAutospacing="0" w:after="0" w:afterAutospacing="0"/>
        <w:jc w:val="both"/>
        <w:rPr>
          <w:rFonts w:eastAsia="Times New Roman"/>
          <w:lang w:val="en-US"/>
        </w:rPr>
      </w:pPr>
      <w:r w:rsidRPr="00044FDC">
        <w:rPr>
          <w:rFonts w:eastAsia="Times New Roman"/>
        </w:rPr>
        <w:t>Zhang, Z. &amp; Burry</w:t>
      </w:r>
      <w:r w:rsidRPr="00044FDC">
        <w:rPr>
          <w:rFonts w:ascii="Calibri" w:hAnsi="Calibri" w:cs="Calibri"/>
        </w:rPr>
        <w:t>‐</w:t>
      </w:r>
      <w:r w:rsidRPr="00044FDC">
        <w:rPr>
          <w:rFonts w:eastAsia="Times New Roman"/>
        </w:rPr>
        <w:t xml:space="preserve">Stock, J. A. (2003). </w:t>
      </w:r>
      <w:r w:rsidRPr="00044FDC">
        <w:rPr>
          <w:rFonts w:eastAsia="Times New Roman"/>
          <w:lang w:val="en-US"/>
        </w:rPr>
        <w:t>Classroom assessment practices and teachers’ self</w:t>
      </w:r>
      <w:r w:rsidRPr="00044FDC">
        <w:rPr>
          <w:rFonts w:ascii="Calibri" w:hAnsi="Calibri" w:cs="Calibri"/>
          <w:lang w:val="en-US"/>
        </w:rPr>
        <w:t>‐</w:t>
      </w:r>
      <w:r w:rsidRPr="00044FDC">
        <w:rPr>
          <w:rFonts w:eastAsia="Times New Roman"/>
          <w:lang w:val="en-US"/>
        </w:rPr>
        <w:t xml:space="preserve">perceived assessment skills. </w:t>
      </w:r>
      <w:r w:rsidRPr="00136C5D">
        <w:rPr>
          <w:rFonts w:eastAsia="Times New Roman"/>
          <w:i/>
          <w:lang w:val="en-US"/>
        </w:rPr>
        <w:t>Applied Measurement in Education</w:t>
      </w:r>
      <w:r w:rsidRPr="00044FDC">
        <w:rPr>
          <w:rFonts w:eastAsia="Times New Roman"/>
          <w:lang w:val="en-US"/>
        </w:rPr>
        <w:t>, 16(4), 323</w:t>
      </w:r>
      <w:r w:rsidRPr="00044FDC">
        <w:rPr>
          <w:rFonts w:ascii="Calibri" w:hAnsi="Calibri" w:cs="Calibri"/>
          <w:lang w:val="en-US"/>
        </w:rPr>
        <w:t>‐</w:t>
      </w:r>
      <w:r w:rsidRPr="00044FDC">
        <w:rPr>
          <w:rFonts w:eastAsia="Times New Roman"/>
          <w:lang w:val="en-US"/>
        </w:rPr>
        <w:t>342.</w:t>
      </w:r>
    </w:p>
    <w:sectPr w:rsidR="00EB5B4D" w:rsidRPr="00932AA1">
      <w:footerReference w:type="default" r:id="rId1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DAA8A" w14:textId="77777777" w:rsidR="007A78CB" w:rsidRDefault="007A78CB">
      <w:r>
        <w:separator/>
      </w:r>
    </w:p>
  </w:endnote>
  <w:endnote w:type="continuationSeparator" w:id="0">
    <w:p w14:paraId="29909685" w14:textId="77777777" w:rsidR="007A78CB" w:rsidRDefault="007A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Open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64C26" w14:textId="77777777" w:rsidR="00235BB3" w:rsidRDefault="00235B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4168">
      <w:rPr>
        <w:noProof/>
        <w:color w:val="000000"/>
      </w:rPr>
      <w:t>14</w:t>
    </w:r>
    <w:r>
      <w:rPr>
        <w:color w:val="000000"/>
      </w:rPr>
      <w:fldChar w:fldCharType="end"/>
    </w:r>
  </w:p>
  <w:p w14:paraId="73344011" w14:textId="77777777" w:rsidR="00235BB3" w:rsidRDefault="00235B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791B2" w14:textId="77777777" w:rsidR="007A78CB" w:rsidRDefault="007A78CB">
      <w:r>
        <w:separator/>
      </w:r>
    </w:p>
  </w:footnote>
  <w:footnote w:type="continuationSeparator" w:id="0">
    <w:p w14:paraId="0967716B" w14:textId="77777777" w:rsidR="007A78CB" w:rsidRDefault="007A78CB">
      <w:r>
        <w:continuationSeparator/>
      </w:r>
    </w:p>
  </w:footnote>
  <w:footnote w:id="1">
    <w:p w14:paraId="0CA66991" w14:textId="1D07587B" w:rsidR="00235BB3" w:rsidRPr="002C5417" w:rsidRDefault="00235BB3" w:rsidP="00C46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 w:themeColor="text1"/>
          <w:sz w:val="20"/>
          <w:szCs w:val="20"/>
        </w:rPr>
      </w:pPr>
      <w:r w:rsidRPr="00C46FCA">
        <w:rPr>
          <w:rStyle w:val="Rimandonotaapidipagina"/>
          <w:sz w:val="20"/>
          <w:szCs w:val="20"/>
        </w:rPr>
        <w:footnoteRef/>
      </w:r>
      <w:r w:rsidRPr="00C46FCA">
        <w:rPr>
          <w:sz w:val="20"/>
          <w:szCs w:val="20"/>
        </w:rPr>
        <w:t xml:space="preserve"> </w:t>
      </w:r>
      <w:r w:rsidRPr="00C46FCA">
        <w:rPr>
          <w:rFonts w:eastAsia="Times New Roman"/>
          <w:sz w:val="20"/>
          <w:szCs w:val="20"/>
        </w:rPr>
        <w:t xml:space="preserve">Si rimanda alla nota </w:t>
      </w:r>
      <w:r>
        <w:rPr>
          <w:rFonts w:eastAsia="Times New Roman"/>
          <w:sz w:val="20"/>
          <w:szCs w:val="20"/>
        </w:rPr>
        <w:t>distinzione</w:t>
      </w:r>
      <w:r w:rsidRPr="00C46FC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tra</w:t>
      </w:r>
      <w:r w:rsidRPr="00C46FCA">
        <w:rPr>
          <w:rFonts w:eastAsia="Times New Roman"/>
          <w:sz w:val="20"/>
          <w:szCs w:val="20"/>
        </w:rPr>
        <w:t xml:space="preserve"> prove </w:t>
      </w:r>
      <w:r w:rsidRPr="00C46FCA">
        <w:rPr>
          <w:rFonts w:eastAsia="Times New Roman"/>
          <w:i/>
          <w:sz w:val="20"/>
          <w:szCs w:val="20"/>
        </w:rPr>
        <w:t>strutturate</w:t>
      </w:r>
      <w:r w:rsidRPr="00C46FCA">
        <w:rPr>
          <w:rFonts w:eastAsia="Times New Roman"/>
          <w:sz w:val="20"/>
          <w:szCs w:val="20"/>
        </w:rPr>
        <w:t>,</w:t>
      </w:r>
      <w:r w:rsidRPr="00C46FCA">
        <w:rPr>
          <w:rFonts w:eastAsia="Times New Roman"/>
          <w:color w:val="000000"/>
          <w:sz w:val="20"/>
          <w:szCs w:val="20"/>
        </w:rPr>
        <w:t xml:space="preserve"> </w:t>
      </w:r>
      <w:r w:rsidRPr="00C46FCA">
        <w:rPr>
          <w:rFonts w:eastAsia="Times New Roman"/>
          <w:i/>
          <w:color w:val="000000"/>
          <w:sz w:val="20"/>
          <w:szCs w:val="20"/>
        </w:rPr>
        <w:t>semistrutturate</w:t>
      </w:r>
      <w:r w:rsidRPr="00C46FCA">
        <w:rPr>
          <w:rFonts w:eastAsia="Times New Roman"/>
          <w:sz w:val="20"/>
          <w:szCs w:val="20"/>
        </w:rPr>
        <w:t xml:space="preserve"> e </w:t>
      </w:r>
      <w:r w:rsidRPr="00C46FCA">
        <w:rPr>
          <w:rFonts w:eastAsia="Times New Roman"/>
          <w:i/>
          <w:sz w:val="20"/>
          <w:szCs w:val="20"/>
        </w:rPr>
        <w:t>non strutturate</w:t>
      </w:r>
      <w:r w:rsidRPr="00C46FCA">
        <w:rPr>
          <w:rFonts w:eastAsia="Times New Roman"/>
          <w:sz w:val="20"/>
          <w:szCs w:val="20"/>
        </w:rPr>
        <w:t xml:space="preserve"> - in base all’apertura/chiusura </w:t>
      </w:r>
      <w:r>
        <w:rPr>
          <w:rFonts w:eastAsia="Times New Roman"/>
          <w:sz w:val="20"/>
          <w:szCs w:val="20"/>
        </w:rPr>
        <w:t>dello stimolo – “</w:t>
      </w:r>
      <w:r w:rsidRPr="00C46FCA">
        <w:rPr>
          <w:rFonts w:eastAsia="Times New Roman"/>
          <w:sz w:val="20"/>
          <w:szCs w:val="20"/>
        </w:rPr>
        <w:t>per incitare gli allievi a manifestare le abili</w:t>
      </w:r>
      <w:r>
        <w:rPr>
          <w:rFonts w:eastAsia="Times New Roman"/>
          <w:sz w:val="20"/>
          <w:szCs w:val="20"/>
        </w:rPr>
        <w:t>tà culturali acquisite a scuola”</w:t>
      </w:r>
      <w:r w:rsidRPr="00C46FCA">
        <w:rPr>
          <w:rFonts w:eastAsia="Times New Roman"/>
          <w:sz w:val="20"/>
          <w:szCs w:val="20"/>
        </w:rPr>
        <w:t xml:space="preserve"> (Bonazza, 2015, p. 201) </w:t>
      </w:r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color w:val="000000"/>
          <w:sz w:val="20"/>
          <w:szCs w:val="20"/>
        </w:rPr>
        <w:t>e della risposta</w:t>
      </w:r>
      <w:r w:rsidRPr="00C46FCA">
        <w:rPr>
          <w:rFonts w:eastAsia="Times New Roman"/>
          <w:color w:val="000000"/>
          <w:sz w:val="20"/>
          <w:szCs w:val="20"/>
        </w:rPr>
        <w:t xml:space="preserve"> (cfr. Vertecchi, 2003; Baldassarre, 2015)</w:t>
      </w:r>
      <w:r>
        <w:rPr>
          <w:rFonts w:eastAsia="Times New Roman"/>
          <w:color w:val="000000"/>
          <w:sz w:val="20"/>
          <w:szCs w:val="20"/>
        </w:rPr>
        <w:t xml:space="preserve"> e, riguardo le prime, ai diversi formati - </w:t>
      </w:r>
      <w:r w:rsidRPr="000F7ACE">
        <w:rPr>
          <w:rFonts w:eastAsia="Times New Roman"/>
          <w:i/>
          <w:color w:val="000000"/>
          <w:sz w:val="20"/>
          <w:szCs w:val="20"/>
        </w:rPr>
        <w:t>scelte multiple</w:t>
      </w:r>
      <w:r>
        <w:rPr>
          <w:rFonts w:eastAsia="Times New Roman"/>
          <w:color w:val="000000"/>
          <w:sz w:val="20"/>
          <w:szCs w:val="20"/>
        </w:rPr>
        <w:t xml:space="preserve">, </w:t>
      </w:r>
      <w:r w:rsidRPr="000F7ACE">
        <w:rPr>
          <w:rFonts w:eastAsia="Times New Roman"/>
          <w:i/>
          <w:color w:val="000000"/>
          <w:sz w:val="20"/>
          <w:szCs w:val="20"/>
        </w:rPr>
        <w:t>vero/falso</w:t>
      </w:r>
      <w:r>
        <w:rPr>
          <w:rFonts w:eastAsia="Times New Roman"/>
          <w:color w:val="000000"/>
          <w:sz w:val="20"/>
          <w:szCs w:val="20"/>
        </w:rPr>
        <w:t xml:space="preserve">, </w:t>
      </w:r>
      <w:r w:rsidRPr="000F7ACE">
        <w:rPr>
          <w:rFonts w:eastAsia="Times New Roman"/>
          <w:i/>
          <w:color w:val="000000"/>
          <w:sz w:val="20"/>
          <w:szCs w:val="20"/>
        </w:rPr>
        <w:t>corrispondenze</w:t>
      </w:r>
      <w:r>
        <w:rPr>
          <w:rFonts w:eastAsia="Times New Roman"/>
          <w:color w:val="000000"/>
          <w:sz w:val="20"/>
          <w:szCs w:val="20"/>
        </w:rPr>
        <w:t xml:space="preserve"> e </w:t>
      </w:r>
      <w:r w:rsidRPr="000F7ACE">
        <w:rPr>
          <w:rFonts w:eastAsia="Times New Roman"/>
          <w:i/>
          <w:color w:val="000000"/>
          <w:sz w:val="20"/>
          <w:szCs w:val="20"/>
        </w:rPr>
        <w:t>integrazioni</w:t>
      </w:r>
      <w:r>
        <w:rPr>
          <w:rFonts w:eastAsia="Times New Roman"/>
          <w:i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ecc. – utili a</w:t>
      </w:r>
      <w:r>
        <w:rPr>
          <w:rFonts w:eastAsia="Times New Roman"/>
          <w:sz w:val="20"/>
          <w:szCs w:val="20"/>
        </w:rPr>
        <w:t xml:space="preserve"> </w:t>
      </w:r>
      <w:r w:rsidRPr="000F7ACE">
        <w:rPr>
          <w:rFonts w:eastAsia="Times New Roman"/>
          <w:sz w:val="20"/>
          <w:szCs w:val="20"/>
        </w:rPr>
        <w:t xml:space="preserve">“predeterminare le </w:t>
      </w:r>
      <w:r w:rsidRPr="002C5417">
        <w:rPr>
          <w:rFonts w:eastAsia="Times New Roman"/>
          <w:color w:val="000000" w:themeColor="text1"/>
          <w:sz w:val="20"/>
          <w:szCs w:val="20"/>
        </w:rPr>
        <w:t xml:space="preserve">risposte corrette e i punteggi” (Bonazza, 2015, p. 202) e a chiarire i processi cognitivi alla base (Baldassarre, 2015; cfr. </w:t>
      </w:r>
      <w:r w:rsidR="006F3867" w:rsidRPr="002C5417">
        <w:rPr>
          <w:rFonts w:eastAsia="Times New Roman"/>
          <w:color w:val="000000" w:themeColor="text1"/>
          <w:sz w:val="20"/>
          <w:szCs w:val="20"/>
        </w:rPr>
        <w:t xml:space="preserve">Anderson et al., </w:t>
      </w:r>
      <w:r w:rsidRPr="002C5417">
        <w:rPr>
          <w:rFonts w:eastAsia="Times New Roman"/>
          <w:color w:val="000000" w:themeColor="text1"/>
          <w:sz w:val="20"/>
          <w:szCs w:val="20"/>
        </w:rPr>
        <w:t>2001).</w:t>
      </w:r>
    </w:p>
  </w:footnote>
  <w:footnote w:id="2">
    <w:p w14:paraId="74E330D0" w14:textId="2E61B386" w:rsidR="00235BB3" w:rsidRPr="002C5417" w:rsidRDefault="00235BB3" w:rsidP="00C46FCA">
      <w:pPr>
        <w:pStyle w:val="Testonotaapidipagina"/>
        <w:jc w:val="both"/>
        <w:rPr>
          <w:color w:val="000000" w:themeColor="text1"/>
        </w:rPr>
      </w:pPr>
      <w:r w:rsidRPr="002C5417">
        <w:rPr>
          <w:rStyle w:val="Rimandonotaapidipagina"/>
          <w:color w:val="000000" w:themeColor="text1"/>
        </w:rPr>
        <w:footnoteRef/>
      </w:r>
      <w:r w:rsidRPr="002C5417">
        <w:rPr>
          <w:color w:val="000000" w:themeColor="text1"/>
        </w:rPr>
        <w:t xml:space="preserve"> Quello, in particolare, della congruenza tra obiettivo e strumento è un aspetto ribadito anche nelle più recenti ‘Linee guida per la valutazione degli apprendimenti’ adottate con l’O.M. n. 172/2020 dove si legge la necessità di “considerare la pertinenza e la rilevanza di ciascuno [strumento] in relazione agli obiettivi” (</w:t>
      </w:r>
      <w:r w:rsidR="009C1CE9" w:rsidRPr="002C5417">
        <w:rPr>
          <w:color w:val="000000" w:themeColor="text1"/>
        </w:rPr>
        <w:t>p. 9</w:t>
      </w:r>
      <w:r w:rsidRPr="002C5417">
        <w:rPr>
          <w:color w:val="000000" w:themeColor="text1"/>
        </w:rPr>
        <w:t>).</w:t>
      </w:r>
    </w:p>
  </w:footnote>
  <w:footnote w:id="3">
    <w:p w14:paraId="6FED718B" w14:textId="31770A9A" w:rsidR="009C1CE9" w:rsidRPr="002C5417" w:rsidRDefault="009C1CE9" w:rsidP="009A58C7">
      <w:pPr>
        <w:pStyle w:val="Testonotaapidipagina"/>
        <w:jc w:val="both"/>
        <w:rPr>
          <w:color w:val="000000" w:themeColor="text1"/>
        </w:rPr>
      </w:pPr>
      <w:r w:rsidRPr="002C5417">
        <w:rPr>
          <w:rStyle w:val="Rimandonotaapidipagina"/>
          <w:color w:val="000000" w:themeColor="text1"/>
        </w:rPr>
        <w:footnoteRef/>
      </w:r>
      <w:r w:rsidRPr="002C5417">
        <w:rPr>
          <w:color w:val="000000" w:themeColor="text1"/>
        </w:rPr>
        <w:t xml:space="preserve"> </w:t>
      </w:r>
      <w:r w:rsidR="009A58C7" w:rsidRPr="002C5417">
        <w:rPr>
          <w:color w:val="000000" w:themeColor="text1"/>
        </w:rPr>
        <w:t>L’</w:t>
      </w:r>
      <w:r w:rsidR="009A58C7" w:rsidRPr="002C5417">
        <w:rPr>
          <w:i/>
          <w:color w:val="000000" w:themeColor="text1"/>
        </w:rPr>
        <w:t>item analysis</w:t>
      </w:r>
      <w:r w:rsidR="009A58C7" w:rsidRPr="002C5417">
        <w:rPr>
          <w:color w:val="000000" w:themeColor="text1"/>
        </w:rPr>
        <w:t>, in particolare, è il processo che valuta la qualità della prova nel suo complesso sulla base delle risposte date ai singoli item dei test (domande); è utilizzata anche per individuare elementi ambigui o fuorvianti e per migliorare i test standardizzati in uso</w:t>
      </w:r>
      <w:r w:rsidR="009A58C7" w:rsidRPr="002C5417">
        <w:rPr>
          <w:i/>
          <w:color w:val="000000" w:themeColor="text1"/>
        </w:rPr>
        <w:t xml:space="preserve"> </w:t>
      </w:r>
      <w:r w:rsidR="009A58C7" w:rsidRPr="002C5417">
        <w:rPr>
          <w:color w:val="000000" w:themeColor="text1"/>
        </w:rPr>
        <w:t>(Bonazza, 2015; Nardi, 2004).</w:t>
      </w:r>
    </w:p>
  </w:footnote>
  <w:footnote w:id="4">
    <w:p w14:paraId="375E5A84" w14:textId="18A620CE" w:rsidR="00235BB3" w:rsidRDefault="00235BB3" w:rsidP="00FF3D2F">
      <w:pPr>
        <w:pStyle w:val="Testonotaapidipagina"/>
        <w:jc w:val="both"/>
      </w:pPr>
      <w:r w:rsidRPr="002C5417">
        <w:rPr>
          <w:rStyle w:val="Rimandonotaapidipagina"/>
          <w:color w:val="000000" w:themeColor="text1"/>
        </w:rPr>
        <w:footnoteRef/>
      </w:r>
      <w:r w:rsidRPr="002C5417">
        <w:rPr>
          <w:color w:val="000000" w:themeColor="text1"/>
        </w:rPr>
        <w:t xml:space="preserve"> La tassonomia è convalidata attraverso un processo logico che includeva due fonti di prova: il consenso ottenuto dalla revisione di ciò </w:t>
      </w:r>
      <w:r w:rsidRPr="00C14452">
        <w:t>che è stato trovato in 27 libri di testo sui test e i risultati di 27 studi di ricerca e revisioni pubblicati dal 1990</w:t>
      </w:r>
      <w:r>
        <w:t xml:space="preserve"> in ambito non esclusivamente legato alla valutazione scolastica.</w:t>
      </w:r>
      <w:r w:rsidRPr="00C14452">
        <w:t xml:space="preserve"> </w:t>
      </w:r>
      <w:r>
        <w:t>Non tutte le linee guida hanno lo stesso grado di evidenza a sostegno del loro uso, per questo motivo gli autori sottolineano l’importanza di studi futuri di convalida e approfondimento.</w:t>
      </w:r>
    </w:p>
  </w:footnote>
  <w:footnote w:id="5">
    <w:p w14:paraId="54ECD834" w14:textId="300403F4" w:rsidR="00C740E7" w:rsidRPr="004B4E90" w:rsidRDefault="00C740E7" w:rsidP="00C740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0"/>
          <w:szCs w:val="20"/>
        </w:rPr>
      </w:pPr>
      <w:bookmarkStart w:id="1" w:name="_heading=h.30j0zll" w:colFirst="0" w:colLast="0"/>
      <w:bookmarkEnd w:id="1"/>
      <w:r w:rsidRPr="002C5417">
        <w:rPr>
          <w:color w:val="000000" w:themeColor="text1"/>
          <w:sz w:val="20"/>
          <w:szCs w:val="20"/>
          <w:vertAlign w:val="superscript"/>
        </w:rPr>
        <w:footnoteRef/>
      </w:r>
      <w:r w:rsidRPr="002C5417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2C5417" w:rsidRPr="002C5417">
        <w:rPr>
          <w:rFonts w:eastAsia="Times New Roman"/>
          <w:color w:val="000000" w:themeColor="text1"/>
          <w:sz w:val="20"/>
          <w:szCs w:val="20"/>
        </w:rPr>
        <w:t>L’</w:t>
      </w:r>
      <w:r w:rsidRPr="002C5417">
        <w:rPr>
          <w:rFonts w:eastAsia="Times New Roman"/>
          <w:i/>
          <w:color w:val="000000" w:themeColor="text1"/>
          <w:sz w:val="20"/>
          <w:szCs w:val="20"/>
        </w:rPr>
        <w:t>Econom</w:t>
      </w:r>
      <w:r w:rsidR="000376BC" w:rsidRPr="002C5417">
        <w:rPr>
          <w:rFonts w:eastAsia="Times New Roman"/>
          <w:i/>
          <w:color w:val="000000" w:themeColor="text1"/>
          <w:sz w:val="20"/>
          <w:szCs w:val="20"/>
        </w:rPr>
        <w:t>ic, So</w:t>
      </w:r>
      <w:r w:rsidR="002C5417" w:rsidRPr="002C5417">
        <w:rPr>
          <w:rFonts w:eastAsia="Times New Roman"/>
          <w:i/>
          <w:color w:val="000000" w:themeColor="text1"/>
          <w:sz w:val="20"/>
          <w:szCs w:val="20"/>
        </w:rPr>
        <w:t xml:space="preserve">cial and Cultural Status index </w:t>
      </w:r>
      <w:r w:rsidRPr="002C5417">
        <w:rPr>
          <w:rFonts w:eastAsia="Times New Roman"/>
          <w:color w:val="000000" w:themeColor="text1"/>
          <w:sz w:val="20"/>
          <w:szCs w:val="20"/>
        </w:rPr>
        <w:t xml:space="preserve">definisce lo status sociale, economico e culturale delle famiglie degli studenti che partecipano alle Prove INVALSI e ad altre ricerche internazionali. </w:t>
      </w:r>
      <w:r w:rsidR="002C5417" w:rsidRPr="002C5417">
        <w:rPr>
          <w:rFonts w:eastAsia="Times New Roman"/>
          <w:color w:val="000000" w:themeColor="text1"/>
          <w:sz w:val="20"/>
          <w:szCs w:val="20"/>
        </w:rPr>
        <w:t xml:space="preserve">Cfr. INVALSI, 2022. </w:t>
      </w:r>
    </w:p>
  </w:footnote>
  <w:footnote w:id="6">
    <w:p w14:paraId="51271313" w14:textId="77777777" w:rsidR="00235BB3" w:rsidRPr="00677132" w:rsidRDefault="00235BB3" w:rsidP="0011179F">
      <w:pPr>
        <w:pStyle w:val="Testonotaapidipagina"/>
        <w:jc w:val="both"/>
      </w:pPr>
      <w:r w:rsidRPr="007148FB">
        <w:rPr>
          <w:rStyle w:val="Rimandonotaapidipagina"/>
        </w:rPr>
        <w:footnoteRef/>
      </w:r>
      <w:r w:rsidRPr="007148FB">
        <w:t xml:space="preserve"> </w:t>
      </w:r>
      <w:r>
        <w:t xml:space="preserve">La scelta delle tipologie di prove è rimessa all’autonomia professionale dei docenti in base ai criteri definiti in sede collegiale e pubblicati nel PTOF (dl n. 62 del 13 </w:t>
      </w:r>
      <w:r w:rsidRPr="00677132">
        <w:t>aprile 2017).</w:t>
      </w:r>
    </w:p>
  </w:footnote>
  <w:footnote w:id="7">
    <w:p w14:paraId="3F942D7C" w14:textId="20791C7F" w:rsidR="00235BB3" w:rsidRPr="004B4E90" w:rsidRDefault="00235BB3" w:rsidP="004B4E90">
      <w:pPr>
        <w:pStyle w:val="Testonotaapidipagina"/>
        <w:jc w:val="both"/>
      </w:pPr>
      <w:r w:rsidRPr="00677132">
        <w:rPr>
          <w:rStyle w:val="Rimandonotaapidipagina"/>
        </w:rPr>
        <w:footnoteRef/>
      </w:r>
      <w:r w:rsidRPr="00677132">
        <w:t xml:space="preserve"> </w:t>
      </w:r>
      <w:r w:rsidRPr="00677132">
        <w:rPr>
          <w:color w:val="000000"/>
        </w:rPr>
        <w:t>‘Che b</w:t>
      </w:r>
      <w:r w:rsidR="005D26AA">
        <w:rPr>
          <w:color w:val="000000"/>
        </w:rPr>
        <w:t xml:space="preserve">ello è Imparare!’ (Grandinetti, </w:t>
      </w:r>
      <w:r w:rsidRPr="00677132">
        <w:rPr>
          <w:color w:val="000000"/>
        </w:rPr>
        <w:t>Mattiassich, Pepe, 2021</w:t>
      </w:r>
      <w:r>
        <w:rPr>
          <w:color w:val="000000"/>
        </w:rPr>
        <w:t>)</w:t>
      </w:r>
      <w:r w:rsidRPr="00677132">
        <w:rPr>
          <w:color w:val="000000"/>
        </w:rPr>
        <w:t>.</w:t>
      </w:r>
    </w:p>
  </w:footnote>
  <w:footnote w:id="8">
    <w:p w14:paraId="6DA32CB5" w14:textId="2BAABFE2" w:rsidR="00235BB3" w:rsidRPr="00F016A3" w:rsidRDefault="00235BB3" w:rsidP="00F01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0"/>
          <w:szCs w:val="20"/>
        </w:rPr>
      </w:pPr>
      <w:r w:rsidRPr="00F016A3">
        <w:rPr>
          <w:rStyle w:val="Rimandonotaapidipagina"/>
          <w:sz w:val="20"/>
          <w:szCs w:val="20"/>
        </w:rPr>
        <w:footnoteRef/>
      </w:r>
      <w:r w:rsidRPr="00F016A3">
        <w:rPr>
          <w:sz w:val="20"/>
          <w:szCs w:val="20"/>
        </w:rPr>
        <w:t xml:space="preserve"> “Una misconcezione è un concetto errato e dunque costituisce genericamente un evento da evitare; essa però non va vista sempre come una situazione del tutto e certamente negativa: non è escluso che per poter raggiungere la costruzione di un concetto, si renda </w:t>
      </w:r>
      <w:r w:rsidRPr="009B3F8B">
        <w:rPr>
          <w:sz w:val="20"/>
          <w:szCs w:val="20"/>
        </w:rPr>
        <w:t>necessario passare attraverso una misconcezione momentanea, ma in corso di sistemazione” (D’Amore, 1999, p. 472).</w:t>
      </w:r>
      <w:r w:rsidRPr="009B3F8B">
        <w:rPr>
          <w:rFonts w:eastAsia="Times New Roman"/>
          <w:color w:val="000000"/>
          <w:sz w:val="20"/>
          <w:szCs w:val="20"/>
        </w:rPr>
        <w:t xml:space="preserve"> La ricerca, infatti, conferma che nessun materiale da solo può causare o impedire la formazione delle misconcezioni: infatti solo l’uso continuato nel tempo delle stesse forme di rappresentazioni può portare alla costruzione di un’immagine rigida nella mente del bambino (</w:t>
      </w:r>
      <w:r w:rsidR="009B3F8B" w:rsidRPr="009B3F8B">
        <w:rPr>
          <w:rFonts w:eastAsia="Times New Roman"/>
          <w:color w:val="000000"/>
          <w:sz w:val="20"/>
          <w:szCs w:val="20"/>
        </w:rPr>
        <w:t>Sb</w:t>
      </w:r>
      <w:r w:rsidR="009B3F8B">
        <w:rPr>
          <w:rFonts w:eastAsia="Times New Roman"/>
          <w:color w:val="000000"/>
          <w:sz w:val="20"/>
          <w:szCs w:val="20"/>
        </w:rPr>
        <w:t>a</w:t>
      </w:r>
      <w:r w:rsidR="009B3F8B" w:rsidRPr="009B3F8B">
        <w:rPr>
          <w:rFonts w:eastAsia="Times New Roman"/>
          <w:color w:val="000000"/>
          <w:sz w:val="20"/>
          <w:szCs w:val="20"/>
        </w:rPr>
        <w:t>ragli, 2012).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9C3B92"/>
    <w:multiLevelType w:val="hybridMultilevel"/>
    <w:tmpl w:val="3F5C3288"/>
    <w:lvl w:ilvl="0" w:tplc="9AE48F6A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A33C7"/>
    <w:multiLevelType w:val="multilevel"/>
    <w:tmpl w:val="F4725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92657D"/>
    <w:multiLevelType w:val="multilevel"/>
    <w:tmpl w:val="8A26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C3942"/>
    <w:multiLevelType w:val="hybridMultilevel"/>
    <w:tmpl w:val="5718AA6C"/>
    <w:lvl w:ilvl="0" w:tplc="0D888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2EF9"/>
    <w:multiLevelType w:val="hybridMultilevel"/>
    <w:tmpl w:val="68B8E028"/>
    <w:lvl w:ilvl="0" w:tplc="5BA075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C6847"/>
    <w:multiLevelType w:val="hybridMultilevel"/>
    <w:tmpl w:val="32484AA0"/>
    <w:lvl w:ilvl="0" w:tplc="A18E2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E276A"/>
    <w:multiLevelType w:val="hybridMultilevel"/>
    <w:tmpl w:val="2258E802"/>
    <w:lvl w:ilvl="0" w:tplc="31981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E5A55"/>
    <w:multiLevelType w:val="multilevel"/>
    <w:tmpl w:val="8DAC6780"/>
    <w:lvl w:ilvl="0">
      <w:start w:val="2"/>
      <w:numFmt w:val="decimal"/>
      <w:pStyle w:val="Titolo1"/>
      <w:lvlText w:val="%1"/>
      <w:lvlJc w:val="left"/>
      <w:pPr>
        <w:ind w:left="360" w:hanging="360"/>
      </w:pPr>
    </w:lvl>
    <w:lvl w:ilvl="1">
      <w:start w:val="1"/>
      <w:numFmt w:val="decimal"/>
      <w:pStyle w:val="Titolo2"/>
      <w:lvlText w:val="%1.%2"/>
      <w:lvlJc w:val="left"/>
      <w:pPr>
        <w:ind w:left="720" w:hanging="720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58190B51"/>
    <w:multiLevelType w:val="hybridMultilevel"/>
    <w:tmpl w:val="91B67970"/>
    <w:lvl w:ilvl="0" w:tplc="B7CC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03C70"/>
    <w:multiLevelType w:val="hybridMultilevel"/>
    <w:tmpl w:val="6B4E213C"/>
    <w:lvl w:ilvl="0" w:tplc="E3560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361B5"/>
    <w:multiLevelType w:val="hybridMultilevel"/>
    <w:tmpl w:val="6E1EC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162C9"/>
    <w:multiLevelType w:val="hybridMultilevel"/>
    <w:tmpl w:val="F600D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17D6B"/>
    <w:multiLevelType w:val="hybridMultilevel"/>
    <w:tmpl w:val="B16CF5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B06DE"/>
    <w:multiLevelType w:val="multilevel"/>
    <w:tmpl w:val="569E59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6E521F0D"/>
    <w:multiLevelType w:val="multilevel"/>
    <w:tmpl w:val="D1A08C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F775FA3"/>
    <w:multiLevelType w:val="hybridMultilevel"/>
    <w:tmpl w:val="A4886A08"/>
    <w:lvl w:ilvl="0" w:tplc="4E1C09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8"/>
  </w:num>
  <w:num w:numId="13">
    <w:abstractNumId w:val="7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3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12"/>
    <w:rsid w:val="000207B4"/>
    <w:rsid w:val="000304F7"/>
    <w:rsid w:val="000354C4"/>
    <w:rsid w:val="000376BC"/>
    <w:rsid w:val="0004325A"/>
    <w:rsid w:val="00044F93"/>
    <w:rsid w:val="00044FDC"/>
    <w:rsid w:val="000515AE"/>
    <w:rsid w:val="00061FD0"/>
    <w:rsid w:val="00063D34"/>
    <w:rsid w:val="00074642"/>
    <w:rsid w:val="00074EF5"/>
    <w:rsid w:val="00077CB4"/>
    <w:rsid w:val="00081846"/>
    <w:rsid w:val="00083C53"/>
    <w:rsid w:val="00084341"/>
    <w:rsid w:val="00090CA7"/>
    <w:rsid w:val="000B2A77"/>
    <w:rsid w:val="000B650F"/>
    <w:rsid w:val="000B670F"/>
    <w:rsid w:val="000C2947"/>
    <w:rsid w:val="000C38E7"/>
    <w:rsid w:val="000D344E"/>
    <w:rsid w:val="000E3573"/>
    <w:rsid w:val="000E57DD"/>
    <w:rsid w:val="000F5027"/>
    <w:rsid w:val="000F7ACE"/>
    <w:rsid w:val="0011179F"/>
    <w:rsid w:val="0011420F"/>
    <w:rsid w:val="00136C5D"/>
    <w:rsid w:val="00137F84"/>
    <w:rsid w:val="00154BA5"/>
    <w:rsid w:val="00160304"/>
    <w:rsid w:val="0016738C"/>
    <w:rsid w:val="00182D00"/>
    <w:rsid w:val="001A47C6"/>
    <w:rsid w:val="001A50FB"/>
    <w:rsid w:val="001B05E2"/>
    <w:rsid w:val="001C37E4"/>
    <w:rsid w:val="001D447C"/>
    <w:rsid w:val="001E5681"/>
    <w:rsid w:val="001E5FCE"/>
    <w:rsid w:val="001F4DA2"/>
    <w:rsid w:val="002149B7"/>
    <w:rsid w:val="002279C7"/>
    <w:rsid w:val="002355DF"/>
    <w:rsid w:val="00235BB3"/>
    <w:rsid w:val="00237474"/>
    <w:rsid w:val="00240A00"/>
    <w:rsid w:val="00243758"/>
    <w:rsid w:val="00251A74"/>
    <w:rsid w:val="00253B6F"/>
    <w:rsid w:val="0025601C"/>
    <w:rsid w:val="002663A0"/>
    <w:rsid w:val="00267A4D"/>
    <w:rsid w:val="00272EAF"/>
    <w:rsid w:val="00273BE5"/>
    <w:rsid w:val="0027406D"/>
    <w:rsid w:val="00284823"/>
    <w:rsid w:val="002936A1"/>
    <w:rsid w:val="00296680"/>
    <w:rsid w:val="002A5EDA"/>
    <w:rsid w:val="002A75C3"/>
    <w:rsid w:val="002A76DC"/>
    <w:rsid w:val="002B1077"/>
    <w:rsid w:val="002C5417"/>
    <w:rsid w:val="002E1993"/>
    <w:rsid w:val="002E3480"/>
    <w:rsid w:val="002F1D8B"/>
    <w:rsid w:val="002F1FC9"/>
    <w:rsid w:val="002F47A4"/>
    <w:rsid w:val="00307286"/>
    <w:rsid w:val="00313FC9"/>
    <w:rsid w:val="00316D98"/>
    <w:rsid w:val="00316FB8"/>
    <w:rsid w:val="00323ACF"/>
    <w:rsid w:val="00326E2C"/>
    <w:rsid w:val="00335B4E"/>
    <w:rsid w:val="00352D0C"/>
    <w:rsid w:val="0036275A"/>
    <w:rsid w:val="00366137"/>
    <w:rsid w:val="003674AE"/>
    <w:rsid w:val="00367DE3"/>
    <w:rsid w:val="00376E51"/>
    <w:rsid w:val="00385040"/>
    <w:rsid w:val="0039006F"/>
    <w:rsid w:val="0039061F"/>
    <w:rsid w:val="00394542"/>
    <w:rsid w:val="00394709"/>
    <w:rsid w:val="003955CE"/>
    <w:rsid w:val="00395B2D"/>
    <w:rsid w:val="003B2BB9"/>
    <w:rsid w:val="003B35BB"/>
    <w:rsid w:val="003B56A7"/>
    <w:rsid w:val="003B6AB2"/>
    <w:rsid w:val="003B7CD0"/>
    <w:rsid w:val="003D0E86"/>
    <w:rsid w:val="003F6B12"/>
    <w:rsid w:val="004067A2"/>
    <w:rsid w:val="00423F90"/>
    <w:rsid w:val="00430107"/>
    <w:rsid w:val="0044362A"/>
    <w:rsid w:val="00443AFA"/>
    <w:rsid w:val="00445811"/>
    <w:rsid w:val="004531B4"/>
    <w:rsid w:val="00465305"/>
    <w:rsid w:val="0046607E"/>
    <w:rsid w:val="00466091"/>
    <w:rsid w:val="00467E57"/>
    <w:rsid w:val="00472C23"/>
    <w:rsid w:val="00486C97"/>
    <w:rsid w:val="004873C8"/>
    <w:rsid w:val="00490E27"/>
    <w:rsid w:val="004946A4"/>
    <w:rsid w:val="004A4E6D"/>
    <w:rsid w:val="004A65BE"/>
    <w:rsid w:val="004B08AF"/>
    <w:rsid w:val="004B0B94"/>
    <w:rsid w:val="004B3EB3"/>
    <w:rsid w:val="004B4E90"/>
    <w:rsid w:val="004D2AC1"/>
    <w:rsid w:val="004E0684"/>
    <w:rsid w:val="004E3148"/>
    <w:rsid w:val="004E329E"/>
    <w:rsid w:val="004F2257"/>
    <w:rsid w:val="004F421F"/>
    <w:rsid w:val="00502956"/>
    <w:rsid w:val="00512C5C"/>
    <w:rsid w:val="00517A2E"/>
    <w:rsid w:val="00526710"/>
    <w:rsid w:val="00527507"/>
    <w:rsid w:val="0053525E"/>
    <w:rsid w:val="00536D79"/>
    <w:rsid w:val="005473F9"/>
    <w:rsid w:val="005521FE"/>
    <w:rsid w:val="00563770"/>
    <w:rsid w:val="00564704"/>
    <w:rsid w:val="00565C91"/>
    <w:rsid w:val="00573FDB"/>
    <w:rsid w:val="00574E9B"/>
    <w:rsid w:val="00577C96"/>
    <w:rsid w:val="00580EC7"/>
    <w:rsid w:val="00582A90"/>
    <w:rsid w:val="005861DE"/>
    <w:rsid w:val="00590B3D"/>
    <w:rsid w:val="00590DD4"/>
    <w:rsid w:val="00590F05"/>
    <w:rsid w:val="005926D1"/>
    <w:rsid w:val="005C5D6B"/>
    <w:rsid w:val="005D09BB"/>
    <w:rsid w:val="005D26AA"/>
    <w:rsid w:val="005E377A"/>
    <w:rsid w:val="005F17BF"/>
    <w:rsid w:val="00603683"/>
    <w:rsid w:val="00634694"/>
    <w:rsid w:val="00637379"/>
    <w:rsid w:val="00645285"/>
    <w:rsid w:val="00655BCC"/>
    <w:rsid w:val="00656BBE"/>
    <w:rsid w:val="006666EC"/>
    <w:rsid w:val="00666CCA"/>
    <w:rsid w:val="0067667E"/>
    <w:rsid w:val="00676E51"/>
    <w:rsid w:val="00677132"/>
    <w:rsid w:val="006B4B6F"/>
    <w:rsid w:val="006B6602"/>
    <w:rsid w:val="006C0A79"/>
    <w:rsid w:val="006C2062"/>
    <w:rsid w:val="006C310C"/>
    <w:rsid w:val="006C77CB"/>
    <w:rsid w:val="006E1D72"/>
    <w:rsid w:val="006E6F23"/>
    <w:rsid w:val="006F05CA"/>
    <w:rsid w:val="006F3867"/>
    <w:rsid w:val="006F47B1"/>
    <w:rsid w:val="006F5247"/>
    <w:rsid w:val="006F5CCF"/>
    <w:rsid w:val="007061E9"/>
    <w:rsid w:val="0070624C"/>
    <w:rsid w:val="00707232"/>
    <w:rsid w:val="00710FB9"/>
    <w:rsid w:val="00712779"/>
    <w:rsid w:val="007132C0"/>
    <w:rsid w:val="007148FB"/>
    <w:rsid w:val="00725D8A"/>
    <w:rsid w:val="00732F12"/>
    <w:rsid w:val="007413FC"/>
    <w:rsid w:val="007565A5"/>
    <w:rsid w:val="00761910"/>
    <w:rsid w:val="0077763D"/>
    <w:rsid w:val="00786181"/>
    <w:rsid w:val="007A1348"/>
    <w:rsid w:val="007A78CB"/>
    <w:rsid w:val="007B4469"/>
    <w:rsid w:val="007C19DA"/>
    <w:rsid w:val="007C4009"/>
    <w:rsid w:val="007C61DE"/>
    <w:rsid w:val="007C6B69"/>
    <w:rsid w:val="007C7C87"/>
    <w:rsid w:val="007D5504"/>
    <w:rsid w:val="007E1997"/>
    <w:rsid w:val="007E1F72"/>
    <w:rsid w:val="007E4168"/>
    <w:rsid w:val="007F0055"/>
    <w:rsid w:val="007F4291"/>
    <w:rsid w:val="00801C2B"/>
    <w:rsid w:val="0080717E"/>
    <w:rsid w:val="0082149D"/>
    <w:rsid w:val="00827E36"/>
    <w:rsid w:val="0084433A"/>
    <w:rsid w:val="00844908"/>
    <w:rsid w:val="00850EE7"/>
    <w:rsid w:val="00863763"/>
    <w:rsid w:val="00867AC8"/>
    <w:rsid w:val="0087143E"/>
    <w:rsid w:val="00874B81"/>
    <w:rsid w:val="0087570E"/>
    <w:rsid w:val="0088423D"/>
    <w:rsid w:val="00891390"/>
    <w:rsid w:val="008A5029"/>
    <w:rsid w:val="008A7E70"/>
    <w:rsid w:val="008D069D"/>
    <w:rsid w:val="008D08B7"/>
    <w:rsid w:val="008F0BDB"/>
    <w:rsid w:val="008F1113"/>
    <w:rsid w:val="008F57F2"/>
    <w:rsid w:val="00901503"/>
    <w:rsid w:val="00903EC6"/>
    <w:rsid w:val="009129DF"/>
    <w:rsid w:val="00916FE4"/>
    <w:rsid w:val="00923B33"/>
    <w:rsid w:val="00930675"/>
    <w:rsid w:val="00932AA1"/>
    <w:rsid w:val="00935556"/>
    <w:rsid w:val="0093591A"/>
    <w:rsid w:val="00940C14"/>
    <w:rsid w:val="00945F24"/>
    <w:rsid w:val="00952DD3"/>
    <w:rsid w:val="00952FD6"/>
    <w:rsid w:val="00954749"/>
    <w:rsid w:val="009573EB"/>
    <w:rsid w:val="00960278"/>
    <w:rsid w:val="00971C43"/>
    <w:rsid w:val="009726E9"/>
    <w:rsid w:val="00975DAD"/>
    <w:rsid w:val="0098399C"/>
    <w:rsid w:val="0099176E"/>
    <w:rsid w:val="009A58C7"/>
    <w:rsid w:val="009A64C0"/>
    <w:rsid w:val="009B35CA"/>
    <w:rsid w:val="009B3F8B"/>
    <w:rsid w:val="009B41A0"/>
    <w:rsid w:val="009B4F8C"/>
    <w:rsid w:val="009B58F5"/>
    <w:rsid w:val="009B6F6F"/>
    <w:rsid w:val="009C1B12"/>
    <w:rsid w:val="009C1CE9"/>
    <w:rsid w:val="009C4D5A"/>
    <w:rsid w:val="009C7D60"/>
    <w:rsid w:val="009E4C58"/>
    <w:rsid w:val="009E5B7D"/>
    <w:rsid w:val="009F3A3E"/>
    <w:rsid w:val="009F46EC"/>
    <w:rsid w:val="009F7A54"/>
    <w:rsid w:val="00A05394"/>
    <w:rsid w:val="00A118A3"/>
    <w:rsid w:val="00A11B2F"/>
    <w:rsid w:val="00A31F9D"/>
    <w:rsid w:val="00A56818"/>
    <w:rsid w:val="00A6117E"/>
    <w:rsid w:val="00A642A6"/>
    <w:rsid w:val="00A67C3D"/>
    <w:rsid w:val="00A715D1"/>
    <w:rsid w:val="00A71CB6"/>
    <w:rsid w:val="00A83558"/>
    <w:rsid w:val="00A9486F"/>
    <w:rsid w:val="00AA0ABF"/>
    <w:rsid w:val="00AA7764"/>
    <w:rsid w:val="00AC0730"/>
    <w:rsid w:val="00AC27F7"/>
    <w:rsid w:val="00AD0B4A"/>
    <w:rsid w:val="00AD2888"/>
    <w:rsid w:val="00AD34EF"/>
    <w:rsid w:val="00AE443A"/>
    <w:rsid w:val="00AE45D5"/>
    <w:rsid w:val="00AF2C1C"/>
    <w:rsid w:val="00AF4EDA"/>
    <w:rsid w:val="00B06706"/>
    <w:rsid w:val="00B1044C"/>
    <w:rsid w:val="00B25349"/>
    <w:rsid w:val="00B275C9"/>
    <w:rsid w:val="00B32DAD"/>
    <w:rsid w:val="00B32E08"/>
    <w:rsid w:val="00B3319A"/>
    <w:rsid w:val="00B456A1"/>
    <w:rsid w:val="00B6404A"/>
    <w:rsid w:val="00B77AE2"/>
    <w:rsid w:val="00B806F5"/>
    <w:rsid w:val="00B82475"/>
    <w:rsid w:val="00B9097C"/>
    <w:rsid w:val="00B97EEB"/>
    <w:rsid w:val="00BA209E"/>
    <w:rsid w:val="00BB1FEC"/>
    <w:rsid w:val="00BB3C92"/>
    <w:rsid w:val="00BB47C2"/>
    <w:rsid w:val="00BB791D"/>
    <w:rsid w:val="00BC125A"/>
    <w:rsid w:val="00BC2262"/>
    <w:rsid w:val="00BD49AD"/>
    <w:rsid w:val="00BE0D95"/>
    <w:rsid w:val="00BF25E4"/>
    <w:rsid w:val="00BF26F1"/>
    <w:rsid w:val="00BF7F5C"/>
    <w:rsid w:val="00C02163"/>
    <w:rsid w:val="00C05AAF"/>
    <w:rsid w:val="00C05DE9"/>
    <w:rsid w:val="00C14452"/>
    <w:rsid w:val="00C14B33"/>
    <w:rsid w:val="00C1574D"/>
    <w:rsid w:val="00C17352"/>
    <w:rsid w:val="00C22086"/>
    <w:rsid w:val="00C30610"/>
    <w:rsid w:val="00C419B6"/>
    <w:rsid w:val="00C420C5"/>
    <w:rsid w:val="00C46FCA"/>
    <w:rsid w:val="00C50717"/>
    <w:rsid w:val="00C54BCB"/>
    <w:rsid w:val="00C562DE"/>
    <w:rsid w:val="00C65D1F"/>
    <w:rsid w:val="00C6605A"/>
    <w:rsid w:val="00C72FF9"/>
    <w:rsid w:val="00C740E7"/>
    <w:rsid w:val="00C76FEF"/>
    <w:rsid w:val="00C923ED"/>
    <w:rsid w:val="00CA6CC5"/>
    <w:rsid w:val="00CB0402"/>
    <w:rsid w:val="00CB1AF3"/>
    <w:rsid w:val="00CC0552"/>
    <w:rsid w:val="00CC09E5"/>
    <w:rsid w:val="00CC0D94"/>
    <w:rsid w:val="00CE3E5A"/>
    <w:rsid w:val="00CE4AD0"/>
    <w:rsid w:val="00CF1CA9"/>
    <w:rsid w:val="00CF235E"/>
    <w:rsid w:val="00CF253A"/>
    <w:rsid w:val="00CF4548"/>
    <w:rsid w:val="00D0538B"/>
    <w:rsid w:val="00D07AC4"/>
    <w:rsid w:val="00D10601"/>
    <w:rsid w:val="00D1379D"/>
    <w:rsid w:val="00D317DF"/>
    <w:rsid w:val="00D43A38"/>
    <w:rsid w:val="00D466F2"/>
    <w:rsid w:val="00D66B16"/>
    <w:rsid w:val="00D70309"/>
    <w:rsid w:val="00D74F5B"/>
    <w:rsid w:val="00D80EBE"/>
    <w:rsid w:val="00D81E12"/>
    <w:rsid w:val="00D82D82"/>
    <w:rsid w:val="00D84028"/>
    <w:rsid w:val="00D8451F"/>
    <w:rsid w:val="00D85717"/>
    <w:rsid w:val="00D86CC4"/>
    <w:rsid w:val="00D90AF5"/>
    <w:rsid w:val="00D92B6D"/>
    <w:rsid w:val="00D95592"/>
    <w:rsid w:val="00DA087F"/>
    <w:rsid w:val="00DA0E15"/>
    <w:rsid w:val="00DC0B65"/>
    <w:rsid w:val="00DC1654"/>
    <w:rsid w:val="00DD6769"/>
    <w:rsid w:val="00DD7A5A"/>
    <w:rsid w:val="00DE2A2D"/>
    <w:rsid w:val="00DF5EE6"/>
    <w:rsid w:val="00E010BA"/>
    <w:rsid w:val="00E01FF4"/>
    <w:rsid w:val="00E05306"/>
    <w:rsid w:val="00E074AB"/>
    <w:rsid w:val="00E26F95"/>
    <w:rsid w:val="00E33AD4"/>
    <w:rsid w:val="00E41965"/>
    <w:rsid w:val="00E42BD0"/>
    <w:rsid w:val="00E6401E"/>
    <w:rsid w:val="00E67A3E"/>
    <w:rsid w:val="00E852DA"/>
    <w:rsid w:val="00E8752B"/>
    <w:rsid w:val="00E87713"/>
    <w:rsid w:val="00E9279A"/>
    <w:rsid w:val="00E9292C"/>
    <w:rsid w:val="00EA1FEF"/>
    <w:rsid w:val="00EB316F"/>
    <w:rsid w:val="00EB5B4D"/>
    <w:rsid w:val="00EC10C1"/>
    <w:rsid w:val="00EC1606"/>
    <w:rsid w:val="00EC1C34"/>
    <w:rsid w:val="00EC7B0C"/>
    <w:rsid w:val="00ED1921"/>
    <w:rsid w:val="00ED3C61"/>
    <w:rsid w:val="00ED48FA"/>
    <w:rsid w:val="00EE0A94"/>
    <w:rsid w:val="00EE6A6E"/>
    <w:rsid w:val="00EF5359"/>
    <w:rsid w:val="00EF69BB"/>
    <w:rsid w:val="00EF77C3"/>
    <w:rsid w:val="00F0014A"/>
    <w:rsid w:val="00F016A3"/>
    <w:rsid w:val="00F24E19"/>
    <w:rsid w:val="00F326EA"/>
    <w:rsid w:val="00F3384B"/>
    <w:rsid w:val="00F377CD"/>
    <w:rsid w:val="00F43088"/>
    <w:rsid w:val="00F50919"/>
    <w:rsid w:val="00F5212D"/>
    <w:rsid w:val="00F543C5"/>
    <w:rsid w:val="00F62875"/>
    <w:rsid w:val="00F815BE"/>
    <w:rsid w:val="00F879FD"/>
    <w:rsid w:val="00F9237D"/>
    <w:rsid w:val="00F965B1"/>
    <w:rsid w:val="00FA33A4"/>
    <w:rsid w:val="00FA7142"/>
    <w:rsid w:val="00FB3E98"/>
    <w:rsid w:val="00FC0782"/>
    <w:rsid w:val="00FD0B94"/>
    <w:rsid w:val="00FD218C"/>
    <w:rsid w:val="00FD4B6C"/>
    <w:rsid w:val="00FE1DFD"/>
    <w:rsid w:val="00FE2846"/>
    <w:rsid w:val="00FE4518"/>
    <w:rsid w:val="00FE7FB4"/>
    <w:rsid w:val="00FF0696"/>
    <w:rsid w:val="00FF3D2F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8E94"/>
  <w15:docId w15:val="{FC177DD0-4C74-49A7-AA7D-046F0F95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44F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2547"/>
    <w:pPr>
      <w:keepNext/>
      <w:pageBreakBefore/>
      <w:numPr>
        <w:numId w:val="1"/>
      </w:numPr>
      <w:spacing w:after="480"/>
      <w:jc w:val="center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02547"/>
    <w:pPr>
      <w:keepNext/>
      <w:numPr>
        <w:ilvl w:val="1"/>
        <w:numId w:val="1"/>
      </w:numPr>
      <w:spacing w:before="480" w:after="3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2547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hAnsi="Calibri" w:cs="Calibri"/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59" w:lineRule="auto"/>
    </w:pPr>
    <w:rPr>
      <w:rFonts w:ascii="Calibri" w:hAnsi="Calibri" w:cs="Calibri"/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502547"/>
    <w:rPr>
      <w:rFonts w:ascii="Arial" w:eastAsia="Times New Roman" w:hAnsi="Arial" w:cs="Arial"/>
      <w:b/>
      <w:bCs/>
      <w:kern w:val="32"/>
      <w:sz w:val="36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02547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02547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customStyle="1" w:styleId="TesiNormale">
    <w:name w:val="TesiNormale"/>
    <w:basedOn w:val="Normale"/>
    <w:rsid w:val="00502547"/>
    <w:pPr>
      <w:spacing w:after="60" w:line="360" w:lineRule="auto"/>
      <w:jc w:val="both"/>
    </w:pPr>
    <w:rPr>
      <w:rFonts w:eastAsia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rsid w:val="00502547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50254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text poznámky"/>
    <w:qFormat/>
    <w:rsid w:val="00502547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36551"/>
    <w:rPr>
      <w:color w:val="808080"/>
    </w:rPr>
  </w:style>
  <w:style w:type="paragraph" w:customStyle="1" w:styleId="TesiCitazione">
    <w:name w:val="TesiCitazione"/>
    <w:basedOn w:val="TesiNormale"/>
    <w:rsid w:val="00757FA3"/>
    <w:pPr>
      <w:spacing w:after="300" w:line="240" w:lineRule="auto"/>
      <w:ind w:left="567" w:right="567"/>
    </w:pPr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57FA3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57F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57FA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57FA3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112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36779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779"/>
  </w:style>
  <w:style w:type="paragraph" w:styleId="Pidipagina">
    <w:name w:val="footer"/>
    <w:basedOn w:val="Normale"/>
    <w:link w:val="PidipaginaCarattere"/>
    <w:uiPriority w:val="99"/>
    <w:unhideWhenUsed/>
    <w:rsid w:val="00D36779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779"/>
  </w:style>
  <w:style w:type="paragraph" w:styleId="Paragrafoelenco">
    <w:name w:val="List Paragraph"/>
    <w:basedOn w:val="Normale"/>
    <w:uiPriority w:val="34"/>
    <w:qFormat/>
    <w:rsid w:val="00D514B9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Didascalia">
    <w:name w:val="caption"/>
    <w:basedOn w:val="Normale"/>
    <w:next w:val="Normale"/>
    <w:uiPriority w:val="35"/>
    <w:qFormat/>
    <w:rsid w:val="00C84350"/>
    <w:rPr>
      <w:rFonts w:eastAsia="Times New Roman"/>
      <w:b/>
      <w:bCs/>
      <w:sz w:val="20"/>
      <w:szCs w:val="20"/>
    </w:rPr>
  </w:style>
  <w:style w:type="character" w:styleId="Rimandocommento">
    <w:name w:val="annotation reference"/>
    <w:uiPriority w:val="99"/>
    <w:semiHidden/>
    <w:unhideWhenUsed/>
    <w:rsid w:val="00D35F35"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F47A4"/>
    <w:pPr>
      <w:spacing w:after="160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F47A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47A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47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7A4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7A4"/>
    <w:rPr>
      <w:rFonts w:ascii="Times New Roman" w:hAnsi="Times New Roman" w:cs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078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E07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rsid w:val="002A75C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40C14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14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14452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C14452"/>
  </w:style>
  <w:style w:type="character" w:customStyle="1" w:styleId="apple-converted-space">
    <w:name w:val="apple-converted-space"/>
    <w:basedOn w:val="Carpredefinitoparagrafo"/>
    <w:rsid w:val="00935556"/>
  </w:style>
  <w:style w:type="character" w:styleId="Enfasicorsivo">
    <w:name w:val="Emphasis"/>
    <w:basedOn w:val="Carpredefinitoparagrafo"/>
    <w:uiPriority w:val="20"/>
    <w:qFormat/>
    <w:rsid w:val="006F3867"/>
    <w:rPr>
      <w:i/>
      <w:iCs/>
    </w:rPr>
  </w:style>
  <w:style w:type="paragraph" w:customStyle="1" w:styleId="sricerca">
    <w:name w:val="sricerca"/>
    <w:basedOn w:val="Normale"/>
    <w:rsid w:val="00EB5B4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yperlink" Target="http://www.scuolavalore.indire.it/guide/pqm-materiali-metodologici" TargetMode="External"/><Relationship Id="rId15" Type="http://schemas.openxmlformats.org/officeDocument/2006/relationships/hyperlink" Target="https://invalsi-areaprove.cineca.it/docs/2022/Rilevazioni_Nazionali/Rapporto/Rapporto_Prove_INVALSI_2022.pdf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bwOj4R8olp9mQK9mq17bze09Cg==">AMUW2mVb3vekS9VuP9Uwp9f1wTzTLWgYIhEJPk/1eoQqq8jCHMchodqRodb/3p/3YD9HlIB3AHt6H/6UtzWqV9JN7GeOxRhlx/tL1FmTUwzq/oLNbga+9pSSONDmjC9xLVDaSbGMwv3ezr4suQ4t00N6foykTEQqc+O4VuGhfiiKn4rGPL5oWTjOvbQxmxdjLKghEis4YN+CafzIGY1FX0ar91xXgfxkBaJKQWa2ae2tU1SXQS8jZjveGCxB6nVpvLDc79VU35FOxxFDu8paW8zvSZJTyyXE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0E0FD7-7FE2-DE4D-82E9-F119E7D2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15</Pages>
  <Words>4932</Words>
  <Characters>29300</Characters>
  <Application>Microsoft Macintosh Word</Application>
  <DocSecurity>0</DocSecurity>
  <Lines>586</Lines>
  <Paragraphs>202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Beri</dc:creator>
  <cp:lastModifiedBy>Utente di Microsoft Office</cp:lastModifiedBy>
  <cp:revision>60</cp:revision>
  <cp:lastPrinted>2023-05-16T13:06:00Z</cp:lastPrinted>
  <dcterms:created xsi:type="dcterms:W3CDTF">2023-05-01T16:46:00Z</dcterms:created>
  <dcterms:modified xsi:type="dcterms:W3CDTF">2023-05-18T06:06:00Z</dcterms:modified>
</cp:coreProperties>
</file>