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37900" w14:textId="142CFBBA" w:rsidR="006254A9" w:rsidRPr="00BC73D6" w:rsidRDefault="00F3041B" w:rsidP="00BC73D6">
      <w:pPr>
        <w:pStyle w:val="Titolo"/>
        <w:jc w:val="right"/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</w:pPr>
      <w:r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Deontologia e formazione degli insegna</w:t>
      </w:r>
      <w:r w:rsidR="004207A7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n</w:t>
      </w:r>
      <w:r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ti: il legame debole</w:t>
      </w:r>
    </w:p>
    <w:p w14:paraId="4575A7E0" w14:textId="77777777" w:rsidR="006254A9" w:rsidRPr="00694BE9" w:rsidRDefault="006254A9" w:rsidP="006254A9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6A9789" w14:textId="77777777" w:rsidR="00281526" w:rsidRPr="00694BE9" w:rsidRDefault="00281526" w:rsidP="006254A9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E96C58F" w14:textId="3925C8D4" w:rsidR="009367A6" w:rsidRDefault="009367A6" w:rsidP="006254A9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964A99" w14:textId="18057F40" w:rsidR="009367A6" w:rsidRPr="009367A6" w:rsidRDefault="009367A6" w:rsidP="006254A9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</w:t>
      </w:r>
      <w:r w:rsidR="000D076A">
        <w:rPr>
          <w:rFonts w:ascii="Times New Roman" w:hAnsi="Times New Roman" w:cs="Times New Roman"/>
          <w:sz w:val="24"/>
          <w:szCs w:val="24"/>
        </w:rPr>
        <w:t xml:space="preserve">ail </w:t>
      </w:r>
      <w:bookmarkStart w:id="0" w:name="_GoBack"/>
      <w:bookmarkEnd w:id="0"/>
    </w:p>
    <w:p w14:paraId="33653559" w14:textId="77777777" w:rsidR="006254A9" w:rsidRPr="00694BE9" w:rsidRDefault="006254A9" w:rsidP="006254A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C6EB3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9AE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Riassunto</w:t>
      </w:r>
      <w:r w:rsidR="00BC73D6"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:</w:t>
      </w:r>
    </w:p>
    <w:p w14:paraId="6AC05ADA" w14:textId="70282B17" w:rsidR="00EB4567" w:rsidRDefault="00F3041B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professionalità</w:t>
      </w:r>
      <w:r w:rsidR="00EB4567">
        <w:rPr>
          <w:rFonts w:ascii="Times New Roman" w:hAnsi="Times New Roman" w:cs="Times New Roman"/>
          <w:sz w:val="20"/>
          <w:szCs w:val="20"/>
        </w:rPr>
        <w:t xml:space="preserve"> degli insegnanti è in continua evoluzione e richiede</w:t>
      </w:r>
      <w:r>
        <w:rPr>
          <w:rFonts w:ascii="Times New Roman" w:hAnsi="Times New Roman" w:cs="Times New Roman"/>
          <w:sz w:val="20"/>
          <w:szCs w:val="20"/>
        </w:rPr>
        <w:t xml:space="preserve"> un surplus di conoscenze e competenze. L</w:t>
      </w:r>
      <w:r w:rsidR="00EB4567">
        <w:rPr>
          <w:rFonts w:ascii="Times New Roman" w:hAnsi="Times New Roman" w:cs="Times New Roman"/>
          <w:sz w:val="20"/>
          <w:szCs w:val="20"/>
        </w:rPr>
        <w:t>a formazione si concentra spesso sulla didattica, sulla</w:t>
      </w:r>
      <w:r>
        <w:rPr>
          <w:rFonts w:ascii="Times New Roman" w:hAnsi="Times New Roman" w:cs="Times New Roman"/>
          <w:sz w:val="20"/>
          <w:szCs w:val="20"/>
        </w:rPr>
        <w:t xml:space="preserve"> gestione d’</w:t>
      </w:r>
      <w:r w:rsidR="00EB4567">
        <w:rPr>
          <w:rFonts w:ascii="Times New Roman" w:hAnsi="Times New Roman" w:cs="Times New Roman"/>
          <w:sz w:val="20"/>
          <w:szCs w:val="20"/>
        </w:rPr>
        <w:t>aula e del gruppo</w:t>
      </w:r>
      <w:r>
        <w:rPr>
          <w:rFonts w:ascii="Times New Roman" w:hAnsi="Times New Roman" w:cs="Times New Roman"/>
          <w:sz w:val="20"/>
          <w:szCs w:val="20"/>
        </w:rPr>
        <w:t xml:space="preserve"> e sulle dinamiche insegnamento/apprendimento. L’arte di insegnare, però, ha il suo</w:t>
      </w:r>
      <w:r w:rsidR="00EB4567">
        <w:rPr>
          <w:rFonts w:ascii="Times New Roman" w:hAnsi="Times New Roman" w:cs="Times New Roman"/>
          <w:sz w:val="20"/>
          <w:szCs w:val="20"/>
        </w:rPr>
        <w:t xml:space="preserve"> centro nella dimensione deontologica. Tra formazione e deontologia il legame </w:t>
      </w:r>
      <w:r w:rsidR="00516E4D">
        <w:rPr>
          <w:rFonts w:ascii="Times New Roman" w:hAnsi="Times New Roman" w:cs="Times New Roman"/>
          <w:sz w:val="20"/>
          <w:szCs w:val="20"/>
        </w:rPr>
        <w:t>è debole: ciò costituisce un</w:t>
      </w:r>
      <w:r w:rsidR="00EB4567">
        <w:rPr>
          <w:rFonts w:ascii="Times New Roman" w:hAnsi="Times New Roman" w:cs="Times New Roman"/>
          <w:sz w:val="20"/>
          <w:szCs w:val="20"/>
        </w:rPr>
        <w:t xml:space="preserve"> nodo critico </w:t>
      </w:r>
      <w:r w:rsidR="00516E4D">
        <w:rPr>
          <w:rFonts w:ascii="Times New Roman" w:hAnsi="Times New Roman" w:cs="Times New Roman"/>
          <w:sz w:val="20"/>
          <w:szCs w:val="20"/>
        </w:rPr>
        <w:t>che impone la necessità di un percorso di acquisizione della meta-competenza della “deontologicità”</w:t>
      </w:r>
      <w:r w:rsidR="00EB456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8B37AC4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</w:p>
    <w:p w14:paraId="1879A472" w14:textId="77777777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Abstract</w:t>
      </w:r>
      <w:r w:rsidR="00BC73D6"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:</w:t>
      </w:r>
    </w:p>
    <w:p w14:paraId="39F02741" w14:textId="260CFAD4" w:rsidR="00516E4D" w:rsidRDefault="00516E4D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16E4D">
        <w:rPr>
          <w:rFonts w:ascii="Times New Roman" w:hAnsi="Times New Roman" w:cs="Times New Roman"/>
          <w:sz w:val="20"/>
          <w:szCs w:val="20"/>
          <w:lang w:val="en-GB"/>
        </w:rPr>
        <w:t>The professionalism of teachers is constantly evolving and requires 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surplus of knowledge and competences</w:t>
      </w:r>
      <w:r w:rsidRPr="00516E4D">
        <w:rPr>
          <w:rFonts w:ascii="Times New Roman" w:hAnsi="Times New Roman" w:cs="Times New Roman"/>
          <w:sz w:val="20"/>
          <w:szCs w:val="20"/>
          <w:lang w:val="en-GB"/>
        </w:rPr>
        <w:t xml:space="preserve">. Training often focuses on teaching, classroom and group management and teaching / learning dynamics. The art of teaching, however, has its center in the ethical dimension. The link between training and deontology is weak: this constitutes a critical node that imposes the need for a path to </w:t>
      </w:r>
      <w:r>
        <w:rPr>
          <w:rFonts w:ascii="Times New Roman" w:hAnsi="Times New Roman" w:cs="Times New Roman"/>
          <w:sz w:val="20"/>
          <w:szCs w:val="20"/>
          <w:lang w:val="en-GB"/>
        </w:rPr>
        <w:t>acquire the meta-competence of “ethics”</w:t>
      </w:r>
      <w:r w:rsidRPr="00516E4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462D030" w14:textId="77777777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DD99356" w14:textId="271081C9" w:rsid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Parole chiave</w:t>
      </w:r>
      <w:r w:rsidRPr="00BC73D6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:</w:t>
      </w:r>
      <w:r w:rsidRPr="00281526">
        <w:rPr>
          <w:rFonts w:ascii="Times New Roman" w:hAnsi="Times New Roman" w:cs="Times New Roman"/>
          <w:sz w:val="20"/>
          <w:szCs w:val="20"/>
        </w:rPr>
        <w:t xml:space="preserve"> </w:t>
      </w:r>
      <w:r w:rsidR="00501DAA">
        <w:rPr>
          <w:rFonts w:ascii="Times New Roman" w:hAnsi="Times New Roman" w:cs="Times New Roman"/>
          <w:sz w:val="20"/>
          <w:szCs w:val="20"/>
        </w:rPr>
        <w:t>F</w:t>
      </w:r>
      <w:r w:rsidR="00516E4D">
        <w:rPr>
          <w:rFonts w:ascii="Times New Roman" w:hAnsi="Times New Roman" w:cs="Times New Roman"/>
          <w:sz w:val="20"/>
          <w:szCs w:val="20"/>
        </w:rPr>
        <w:t>ormazione</w:t>
      </w:r>
      <w:r w:rsidR="00501DAA">
        <w:rPr>
          <w:rFonts w:ascii="Times New Roman" w:hAnsi="Times New Roman" w:cs="Times New Roman"/>
          <w:sz w:val="20"/>
          <w:szCs w:val="20"/>
        </w:rPr>
        <w:t xml:space="preserve"> deli insegnanti</w:t>
      </w:r>
      <w:r w:rsidR="00516E4D">
        <w:rPr>
          <w:rFonts w:ascii="Times New Roman" w:hAnsi="Times New Roman" w:cs="Times New Roman"/>
          <w:sz w:val="20"/>
          <w:szCs w:val="20"/>
        </w:rPr>
        <w:t>, deontologia, meta</w:t>
      </w:r>
      <w:r w:rsidR="00001B43">
        <w:rPr>
          <w:rFonts w:ascii="Times New Roman" w:hAnsi="Times New Roman" w:cs="Times New Roman"/>
          <w:sz w:val="20"/>
          <w:szCs w:val="20"/>
        </w:rPr>
        <w:t>competenza della deontologicità.</w:t>
      </w:r>
    </w:p>
    <w:p w14:paraId="3EF6122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31849B" w:themeColor="accent5" w:themeShade="BF"/>
          <w:sz w:val="20"/>
          <w:szCs w:val="20"/>
        </w:rPr>
      </w:pPr>
    </w:p>
    <w:p w14:paraId="01240A37" w14:textId="241B7BDC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lang w:val="en-GB"/>
        </w:rPr>
        <w:t>Keywords:</w:t>
      </w:r>
      <w:r w:rsidR="00BC73D6" w:rsidRPr="009367A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01DAA">
        <w:rPr>
          <w:rFonts w:ascii="Times New Roman" w:hAnsi="Times New Roman" w:cs="Times New Roman"/>
          <w:sz w:val="20"/>
          <w:szCs w:val="20"/>
          <w:lang w:val="en-GB"/>
        </w:rPr>
        <w:t>Teacher’s t</w:t>
      </w:r>
      <w:r w:rsidR="00516E4D">
        <w:rPr>
          <w:rFonts w:ascii="Times New Roman" w:hAnsi="Times New Roman" w:cs="Times New Roman"/>
          <w:sz w:val="20"/>
          <w:szCs w:val="20"/>
          <w:lang w:val="en-GB"/>
        </w:rPr>
        <w:t xml:space="preserve">raining, deontology, </w:t>
      </w:r>
      <w:r w:rsidR="00932473">
        <w:rPr>
          <w:rFonts w:ascii="Times New Roman" w:hAnsi="Times New Roman" w:cs="Times New Roman"/>
          <w:sz w:val="20"/>
          <w:szCs w:val="20"/>
          <w:lang w:val="en-GB"/>
        </w:rPr>
        <w:t>meta-competence</w:t>
      </w:r>
      <w:r w:rsidR="005E21FD">
        <w:rPr>
          <w:rFonts w:ascii="Times New Roman" w:hAnsi="Times New Roman" w:cs="Times New Roman"/>
          <w:sz w:val="20"/>
          <w:szCs w:val="20"/>
          <w:lang w:val="en-GB"/>
        </w:rPr>
        <w:t xml:space="preserve"> of ethics</w:t>
      </w:r>
      <w:r w:rsidRPr="009367A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EA8867E" w14:textId="77777777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23C778E" w14:textId="77777777" w:rsidR="00281526" w:rsidRPr="009367A6" w:rsidRDefault="00281526" w:rsidP="00BC73D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C3311D" w14:textId="5674069F" w:rsidR="00281526" w:rsidRPr="00BC73D6" w:rsidRDefault="00DA667C" w:rsidP="00BC73D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  <w:t xml:space="preserve">L’etica </w:t>
      </w:r>
      <w:r w:rsidR="00296CDD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professionale </w:t>
      </w: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come emergenza</w:t>
      </w:r>
    </w:p>
    <w:p w14:paraId="06E79D33" w14:textId="4342A90D" w:rsidR="000C0F7A" w:rsidRDefault="00F37DE8" w:rsidP="009367A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prospettive più recenti dell’epistemologia dell</w:t>
      </w:r>
      <w:r w:rsidR="000B01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scienze</w:t>
      </w:r>
      <w:r w:rsidR="000B0173">
        <w:rPr>
          <w:rFonts w:ascii="Times New Roman" w:hAnsi="Times New Roman" w:cs="Times New Roman"/>
          <w:sz w:val="24"/>
          <w:szCs w:val="24"/>
        </w:rPr>
        <w:t xml:space="preserve"> nella prospettiva della complessità pongono al </w:t>
      </w:r>
      <w:r w:rsidR="00140E9A">
        <w:rPr>
          <w:rFonts w:ascii="Times New Roman" w:hAnsi="Times New Roman" w:cs="Times New Roman"/>
          <w:sz w:val="24"/>
          <w:szCs w:val="24"/>
        </w:rPr>
        <w:t>centro il concetto di emergenza quale “nozione sistemica sorprendente che le scienze cominciano a integrare. L’emergenza è il tipo di realtà nuova, dotata di qualità e proprietà proprie, che si forma, si costituisce, si concretizza a partire dall’assemblaggio organizzatore di elementi non dotati delle qualità e delle proprietà di questa realtà” (Morin, 2018, p. 30).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B8F">
        <w:rPr>
          <w:rFonts w:ascii="Times New Roman" w:hAnsi="Times New Roman" w:cs="Times New Roman"/>
          <w:sz w:val="24"/>
          <w:szCs w:val="24"/>
        </w:rPr>
        <w:t xml:space="preserve">In pedagogia abbiamo definito l’emergenza come </w:t>
      </w:r>
      <w:r w:rsidR="000230D6">
        <w:rPr>
          <w:rFonts w:ascii="Times New Roman" w:hAnsi="Times New Roman" w:cs="Times New Roman"/>
          <w:sz w:val="24"/>
          <w:szCs w:val="24"/>
        </w:rPr>
        <w:t xml:space="preserve">“ciò che ‘viene a galla’, che ‘risale dal fondo’, (gli emergentisti parlano di </w:t>
      </w:r>
      <w:r w:rsidR="000230D6" w:rsidRPr="000230D6">
        <w:rPr>
          <w:rFonts w:ascii="Times New Roman" w:hAnsi="Times New Roman" w:cs="Times New Roman"/>
          <w:i/>
          <w:sz w:val="24"/>
          <w:szCs w:val="24"/>
        </w:rPr>
        <w:t>bottom up</w:t>
      </w:r>
      <w:r w:rsidR="000230D6">
        <w:rPr>
          <w:rFonts w:ascii="Times New Roman" w:hAnsi="Times New Roman" w:cs="Times New Roman"/>
          <w:sz w:val="24"/>
          <w:szCs w:val="24"/>
        </w:rPr>
        <w:t xml:space="preserve">) cioè ciò che si discosta pedagogicamente dalla fitta trama della quotidianità, dal processo e dall’agire educativi, al punto da interrogarci, da attivare la nostra attenzione di educatori, pedagogisti o ricercatori” (Milani, 2021, p. 36). Sta ai ricercatori, quindi, essere capaci di leggere e individuare le </w:t>
      </w:r>
      <w:r w:rsidR="00BE0434">
        <w:rPr>
          <w:rFonts w:ascii="Times New Roman" w:hAnsi="Times New Roman" w:cs="Times New Roman"/>
          <w:sz w:val="24"/>
          <w:szCs w:val="24"/>
        </w:rPr>
        <w:t xml:space="preserve">emergenze perché “l’emergenza possiamo solo constatarla” (Morin, </w:t>
      </w:r>
      <w:r w:rsidR="00BE0434">
        <w:rPr>
          <w:rFonts w:ascii="Times New Roman" w:hAnsi="Times New Roman" w:cs="Times New Roman"/>
          <w:sz w:val="24"/>
          <w:szCs w:val="24"/>
        </w:rPr>
        <w:lastRenderedPageBreak/>
        <w:t xml:space="preserve">2018, p. 35). </w:t>
      </w:r>
      <w:r w:rsidR="00ED3D9E">
        <w:rPr>
          <w:rFonts w:ascii="Times New Roman" w:hAnsi="Times New Roman" w:cs="Times New Roman"/>
          <w:sz w:val="24"/>
          <w:szCs w:val="24"/>
        </w:rPr>
        <w:t>In riferimento alla deontologia professionale e alla sua “debolezza” nella formazione degli insegnanti</w:t>
      </w:r>
      <w:r w:rsidR="00CE0605">
        <w:rPr>
          <w:rFonts w:ascii="Times New Roman" w:hAnsi="Times New Roman" w:cs="Times New Roman"/>
          <w:sz w:val="24"/>
          <w:szCs w:val="24"/>
        </w:rPr>
        <w:t>, si può parlare di un’</w:t>
      </w:r>
      <w:r w:rsidR="00CE0605" w:rsidRPr="00296CDD">
        <w:rPr>
          <w:rFonts w:ascii="Times New Roman" w:hAnsi="Times New Roman" w:cs="Times New Roman"/>
          <w:i/>
          <w:sz w:val="24"/>
          <w:szCs w:val="24"/>
        </w:rPr>
        <w:t>emergenza prassica</w:t>
      </w:r>
      <w:r w:rsidR="00CE0605">
        <w:rPr>
          <w:rFonts w:ascii="Times New Roman" w:hAnsi="Times New Roman" w:cs="Times New Roman"/>
          <w:sz w:val="24"/>
          <w:szCs w:val="24"/>
        </w:rPr>
        <w:t xml:space="preserve"> ed </w:t>
      </w:r>
      <w:r w:rsidR="00CE0605" w:rsidRPr="00296CDD">
        <w:rPr>
          <w:rFonts w:ascii="Times New Roman" w:hAnsi="Times New Roman" w:cs="Times New Roman"/>
          <w:i/>
          <w:sz w:val="24"/>
          <w:szCs w:val="24"/>
        </w:rPr>
        <w:t>epistemologica</w:t>
      </w:r>
      <w:r w:rsidR="00CE0605">
        <w:rPr>
          <w:rFonts w:ascii="Times New Roman" w:hAnsi="Times New Roman" w:cs="Times New Roman"/>
          <w:sz w:val="24"/>
          <w:szCs w:val="24"/>
        </w:rPr>
        <w:t xml:space="preserve">. </w:t>
      </w:r>
      <w:r w:rsidR="00BE0434">
        <w:rPr>
          <w:rFonts w:ascii="Times New Roman" w:hAnsi="Times New Roman" w:cs="Times New Roman"/>
          <w:sz w:val="24"/>
          <w:szCs w:val="24"/>
        </w:rPr>
        <w:t>Con un approccio fenomenologico, possiamo constatare che</w:t>
      </w:r>
      <w:r w:rsidR="000230D6">
        <w:rPr>
          <w:rFonts w:ascii="Times New Roman" w:hAnsi="Times New Roman" w:cs="Times New Roman"/>
          <w:sz w:val="24"/>
          <w:szCs w:val="24"/>
        </w:rPr>
        <w:t xml:space="preserve"> </w:t>
      </w:r>
      <w:r w:rsidR="00BE0434">
        <w:rPr>
          <w:rFonts w:ascii="Times New Roman" w:hAnsi="Times New Roman" w:cs="Times New Roman"/>
          <w:sz w:val="24"/>
          <w:szCs w:val="24"/>
        </w:rPr>
        <w:t>l</w:t>
      </w:r>
      <w:r w:rsidR="00DA667C">
        <w:rPr>
          <w:rFonts w:ascii="Times New Roman" w:hAnsi="Times New Roman" w:cs="Times New Roman"/>
          <w:sz w:val="24"/>
          <w:szCs w:val="24"/>
        </w:rPr>
        <w:t>e cronache riportano spesso evidenti violazioni dei diritti dei minori e condotte scorrete nell’ambito d</w:t>
      </w:r>
      <w:r w:rsidR="00BE0434">
        <w:rPr>
          <w:rFonts w:ascii="Times New Roman" w:hAnsi="Times New Roman" w:cs="Times New Roman"/>
          <w:sz w:val="24"/>
          <w:szCs w:val="24"/>
        </w:rPr>
        <w:t>i ogni ordine e grado di scuola, non solo in Italia, ma nel Mondo</w:t>
      </w:r>
      <w:r w:rsidR="00CE0605">
        <w:rPr>
          <w:rFonts w:ascii="Times New Roman" w:hAnsi="Times New Roman" w:cs="Times New Roman"/>
          <w:sz w:val="24"/>
          <w:szCs w:val="24"/>
        </w:rPr>
        <w:t xml:space="preserve"> con una </w:t>
      </w:r>
      <w:r w:rsidR="00CE0605" w:rsidRPr="00296CDD">
        <w:rPr>
          <w:rFonts w:ascii="Times New Roman" w:hAnsi="Times New Roman" w:cs="Times New Roman"/>
          <w:i/>
          <w:sz w:val="24"/>
          <w:szCs w:val="24"/>
        </w:rPr>
        <w:t>evidente emergenza nelle prassi educative</w:t>
      </w:r>
      <w:r w:rsidR="00BE0434">
        <w:rPr>
          <w:rFonts w:ascii="Times New Roman" w:hAnsi="Times New Roman" w:cs="Times New Roman"/>
          <w:sz w:val="24"/>
          <w:szCs w:val="24"/>
        </w:rPr>
        <w:t>.</w:t>
      </w:r>
      <w:r w:rsidR="00CE0605">
        <w:rPr>
          <w:rFonts w:ascii="Times New Roman" w:hAnsi="Times New Roman" w:cs="Times New Roman"/>
          <w:sz w:val="24"/>
          <w:szCs w:val="24"/>
        </w:rPr>
        <w:t xml:space="preserve"> Tali casi riguardano</w:t>
      </w:r>
      <w:r w:rsidR="00A744F6">
        <w:rPr>
          <w:rFonts w:ascii="Times New Roman" w:hAnsi="Times New Roman" w:cs="Times New Roman"/>
          <w:sz w:val="24"/>
          <w:szCs w:val="24"/>
        </w:rPr>
        <w:t xml:space="preserve"> soprattutto l’abuso di mezzi di correzione (art. 571 del Codice Penale), reato che può sfociare nel vero e proprio maltrattamento (art. 572 del Codice Penale) fino alla lesione personale (artt. 582 e 583 del Codice Penale); va segnalato che l’art. 361 prende in considerazione l’omessa denuncia di reato come violazione del Codice Penale con conseguenze sugli adulti responsabili. </w:t>
      </w:r>
      <w:r w:rsidR="00CE0605">
        <w:rPr>
          <w:rFonts w:ascii="Times New Roman" w:hAnsi="Times New Roman" w:cs="Times New Roman"/>
          <w:sz w:val="24"/>
          <w:szCs w:val="24"/>
        </w:rPr>
        <w:t>In Italia</w:t>
      </w:r>
      <w:r w:rsidR="00A744F6">
        <w:rPr>
          <w:rFonts w:ascii="Times New Roman" w:hAnsi="Times New Roman" w:cs="Times New Roman"/>
          <w:sz w:val="24"/>
          <w:szCs w:val="24"/>
        </w:rPr>
        <w:t>,</w:t>
      </w:r>
      <w:r w:rsidR="00CE0605">
        <w:rPr>
          <w:rFonts w:ascii="Times New Roman" w:hAnsi="Times New Roman" w:cs="Times New Roman"/>
          <w:sz w:val="24"/>
          <w:szCs w:val="24"/>
        </w:rPr>
        <w:t xml:space="preserve"> possiamo notare un certo oscuramento dei dati </w:t>
      </w:r>
      <w:r w:rsidR="00CE0605" w:rsidRPr="00CE0605">
        <w:rPr>
          <w:rFonts w:ascii="Times New Roman" w:hAnsi="Times New Roman" w:cs="Times New Roman"/>
          <w:sz w:val="24"/>
          <w:szCs w:val="24"/>
        </w:rPr>
        <w:t xml:space="preserve">riguardanti violenze, abusi, maltrattamenti o abuso di mezzi di </w:t>
      </w:r>
      <w:r w:rsidR="00CE0605">
        <w:rPr>
          <w:rFonts w:ascii="Times New Roman" w:hAnsi="Times New Roman" w:cs="Times New Roman"/>
          <w:sz w:val="24"/>
          <w:szCs w:val="24"/>
        </w:rPr>
        <w:t>correzione: nei dati ufficiali dell’ISTAT</w:t>
      </w:r>
      <w:r w:rsidR="00CE0605" w:rsidRPr="00CE0605">
        <w:rPr>
          <w:rFonts w:ascii="Times New Roman" w:hAnsi="Times New Roman" w:cs="Times New Roman"/>
          <w:sz w:val="24"/>
          <w:szCs w:val="24"/>
        </w:rPr>
        <w:t xml:space="preserve"> non si </w:t>
      </w:r>
      <w:r w:rsidR="00CE0605">
        <w:rPr>
          <w:rFonts w:ascii="Times New Roman" w:hAnsi="Times New Roman" w:cs="Times New Roman"/>
          <w:sz w:val="24"/>
          <w:szCs w:val="24"/>
        </w:rPr>
        <w:t>può dedurre né la tipologia degli autori</w:t>
      </w:r>
      <w:r w:rsidR="00CE0605" w:rsidRPr="00CE0605">
        <w:rPr>
          <w:rFonts w:ascii="Times New Roman" w:hAnsi="Times New Roman" w:cs="Times New Roman"/>
          <w:sz w:val="24"/>
          <w:szCs w:val="24"/>
        </w:rPr>
        <w:t xml:space="preserve"> di reato né il contesto</w:t>
      </w:r>
      <w:r w:rsidR="00CE0605">
        <w:rPr>
          <w:rFonts w:ascii="Times New Roman" w:hAnsi="Times New Roman" w:cs="Times New Roman"/>
          <w:sz w:val="24"/>
          <w:szCs w:val="24"/>
        </w:rPr>
        <w:t xml:space="preserve"> nei q</w:t>
      </w:r>
      <w:r w:rsidR="00A744F6">
        <w:rPr>
          <w:rFonts w:ascii="Times New Roman" w:hAnsi="Times New Roman" w:cs="Times New Roman"/>
          <w:sz w:val="24"/>
          <w:szCs w:val="24"/>
        </w:rPr>
        <w:t>uali questi reati sono commessi, impedendone così un’analisi critica in grado di individuare l’incidenza del fenomeno sulle realtà educative (scuole, comunità, centri educativi, organizzazioni educative…). Lo studioso D. M.</w:t>
      </w:r>
      <w:r w:rsidR="00CE0605">
        <w:rPr>
          <w:rFonts w:ascii="Times New Roman" w:hAnsi="Times New Roman" w:cs="Times New Roman"/>
          <w:sz w:val="24"/>
          <w:szCs w:val="24"/>
        </w:rPr>
        <w:t xml:space="preserve"> </w:t>
      </w:r>
      <w:r w:rsidR="00DA667C">
        <w:rPr>
          <w:rFonts w:ascii="Times New Roman" w:hAnsi="Times New Roman" w:cs="Times New Roman"/>
          <w:sz w:val="24"/>
          <w:szCs w:val="24"/>
        </w:rPr>
        <w:t>Malone</w:t>
      </w:r>
      <w:r w:rsidR="00BE0434">
        <w:rPr>
          <w:rFonts w:ascii="Times New Roman" w:hAnsi="Times New Roman" w:cs="Times New Roman"/>
          <w:sz w:val="24"/>
          <w:szCs w:val="24"/>
        </w:rPr>
        <w:t>,</w:t>
      </w:r>
      <w:r w:rsidR="00DA667C">
        <w:rPr>
          <w:rFonts w:ascii="Times New Roman" w:hAnsi="Times New Roman" w:cs="Times New Roman"/>
          <w:sz w:val="24"/>
          <w:szCs w:val="24"/>
        </w:rPr>
        <w:t xml:space="preserve"> dopo una analisi dettagliata di molteplici ricerche sulle condotte errate degli insegnanti</w:t>
      </w:r>
      <w:r w:rsidR="00BE0434">
        <w:rPr>
          <w:rFonts w:ascii="Times New Roman" w:hAnsi="Times New Roman" w:cs="Times New Roman"/>
          <w:sz w:val="24"/>
          <w:szCs w:val="24"/>
        </w:rPr>
        <w:t>,</w:t>
      </w:r>
      <w:r w:rsidR="00DA667C">
        <w:rPr>
          <w:rFonts w:ascii="Times New Roman" w:hAnsi="Times New Roman" w:cs="Times New Roman"/>
          <w:sz w:val="24"/>
          <w:szCs w:val="24"/>
        </w:rPr>
        <w:t xml:space="preserve"> dichiara: “Negli ultimi 20 anni c’è stato un aumento senza precedenti della cattiva condotta degli insegnanti in tutto il mondo” (2020, p.</w:t>
      </w:r>
      <w:r w:rsidR="00F500A7">
        <w:rPr>
          <w:rFonts w:ascii="Times New Roman" w:hAnsi="Times New Roman" w:cs="Times New Roman"/>
          <w:sz w:val="24"/>
          <w:szCs w:val="24"/>
        </w:rPr>
        <w:t xml:space="preserve"> 82</w:t>
      </w:r>
      <w:r w:rsidR="00CE0605">
        <w:rPr>
          <w:rFonts w:ascii="Times New Roman" w:hAnsi="Times New Roman" w:cs="Times New Roman"/>
          <w:sz w:val="24"/>
          <w:szCs w:val="24"/>
        </w:rPr>
        <w:t xml:space="preserve">) e segnala che </w:t>
      </w:r>
      <w:r w:rsidR="005C316D">
        <w:rPr>
          <w:rFonts w:ascii="Times New Roman" w:hAnsi="Times New Roman" w:cs="Times New Roman"/>
          <w:sz w:val="24"/>
          <w:szCs w:val="24"/>
        </w:rPr>
        <w:t>affiorano</w:t>
      </w:r>
      <w:r w:rsidR="00296CDD">
        <w:rPr>
          <w:rFonts w:ascii="Times New Roman" w:hAnsi="Times New Roman" w:cs="Times New Roman"/>
          <w:sz w:val="24"/>
          <w:szCs w:val="24"/>
        </w:rPr>
        <w:t xml:space="preserve"> solo i dati relativi alle condotte</w:t>
      </w:r>
      <w:r w:rsidR="00CE0605">
        <w:rPr>
          <w:rFonts w:ascii="Times New Roman" w:hAnsi="Times New Roman" w:cs="Times New Roman"/>
          <w:sz w:val="24"/>
          <w:szCs w:val="24"/>
        </w:rPr>
        <w:t xml:space="preserve"> più gravi ed eclatanti.</w:t>
      </w:r>
      <w:r w:rsidR="00DA667C">
        <w:rPr>
          <w:rFonts w:ascii="Times New Roman" w:hAnsi="Times New Roman" w:cs="Times New Roman"/>
          <w:sz w:val="24"/>
          <w:szCs w:val="24"/>
        </w:rPr>
        <w:t xml:space="preserve"> </w:t>
      </w:r>
      <w:r w:rsidR="00ED3D9E">
        <w:rPr>
          <w:rFonts w:ascii="Times New Roman" w:hAnsi="Times New Roman" w:cs="Times New Roman"/>
          <w:sz w:val="24"/>
          <w:szCs w:val="24"/>
        </w:rPr>
        <w:t>L’</w:t>
      </w:r>
      <w:r w:rsidR="005C316D">
        <w:rPr>
          <w:rFonts w:ascii="Times New Roman" w:hAnsi="Times New Roman" w:cs="Times New Roman"/>
          <w:sz w:val="24"/>
          <w:szCs w:val="24"/>
        </w:rPr>
        <w:t xml:space="preserve">emergenza della violazione dei diritti dei minori o di condotte maltrattanti, violente, abusanti o discriminatorie ci riporta all’apporto degli studi della </w:t>
      </w:r>
      <w:r w:rsidR="005C316D" w:rsidRPr="005C316D">
        <w:rPr>
          <w:rFonts w:ascii="Times New Roman" w:hAnsi="Times New Roman" w:cs="Times New Roman"/>
          <w:i/>
          <w:sz w:val="24"/>
          <w:szCs w:val="24"/>
        </w:rPr>
        <w:t>Pedagogia nera</w:t>
      </w:r>
      <w:r w:rsidR="005C316D">
        <w:rPr>
          <w:rFonts w:ascii="Times New Roman" w:hAnsi="Times New Roman" w:cs="Times New Roman"/>
          <w:sz w:val="24"/>
          <w:szCs w:val="24"/>
        </w:rPr>
        <w:t xml:space="preserve"> di K. Rutschky (1977) e A. Miller (1987) e ripresi di recente da P. Perticari (2005) e da M. Muscarà e A. Romano (2020) e alla necessità di riattivare la riflessione scientifico-epistemologica </w:t>
      </w:r>
      <w:r w:rsidR="00261F35">
        <w:rPr>
          <w:rFonts w:ascii="Times New Roman" w:hAnsi="Times New Roman" w:cs="Times New Roman"/>
          <w:sz w:val="24"/>
          <w:szCs w:val="24"/>
        </w:rPr>
        <w:t>sulla</w:t>
      </w:r>
      <w:r w:rsidR="005C316D">
        <w:rPr>
          <w:rFonts w:ascii="Times New Roman" w:hAnsi="Times New Roman" w:cs="Times New Roman"/>
          <w:sz w:val="24"/>
          <w:szCs w:val="24"/>
        </w:rPr>
        <w:t xml:space="preserve"> deontologia professionale</w:t>
      </w:r>
      <w:r w:rsidR="00261F35">
        <w:rPr>
          <w:rFonts w:ascii="Times New Roman" w:hAnsi="Times New Roman" w:cs="Times New Roman"/>
          <w:sz w:val="24"/>
          <w:szCs w:val="24"/>
        </w:rPr>
        <w:t xml:space="preserve"> tra eticità, deontologicità, pratica e prassi</w:t>
      </w:r>
      <w:r w:rsidR="005C316D">
        <w:rPr>
          <w:rFonts w:ascii="Times New Roman" w:hAnsi="Times New Roman" w:cs="Times New Roman"/>
          <w:sz w:val="24"/>
          <w:szCs w:val="24"/>
        </w:rPr>
        <w:t xml:space="preserve"> </w:t>
      </w:r>
      <w:r w:rsidR="00261F35">
        <w:rPr>
          <w:rFonts w:ascii="Times New Roman" w:hAnsi="Times New Roman" w:cs="Times New Roman"/>
          <w:sz w:val="24"/>
          <w:szCs w:val="24"/>
        </w:rPr>
        <w:t>educative (Milani, 2021, pp. 9-29), ponendo al centro la riflessività etica nelle  diverse dimensioni di “auto-etica, socio-etica e antropo-etica” (Morin, 2005, p. 54)</w:t>
      </w:r>
      <w:r w:rsidR="000C0F7A">
        <w:rPr>
          <w:rFonts w:ascii="Times New Roman" w:hAnsi="Times New Roman" w:cs="Times New Roman"/>
          <w:sz w:val="24"/>
          <w:szCs w:val="24"/>
        </w:rPr>
        <w:t>.</w:t>
      </w:r>
    </w:p>
    <w:p w14:paraId="007FF1B7" w14:textId="7CCB0C39" w:rsidR="00B75CDD" w:rsidRPr="00B75CDD" w:rsidRDefault="000C0F7A" w:rsidP="00B75CDD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42194">
        <w:rPr>
          <w:rFonts w:ascii="Times New Roman" w:hAnsi="Times New Roman" w:cs="Times New Roman"/>
          <w:i/>
          <w:sz w:val="24"/>
          <w:szCs w:val="24"/>
        </w:rPr>
        <w:t>Dal punto di vista epistemologico</w:t>
      </w:r>
      <w:r>
        <w:rPr>
          <w:rFonts w:ascii="Times New Roman" w:hAnsi="Times New Roman" w:cs="Times New Roman"/>
          <w:sz w:val="24"/>
          <w:szCs w:val="24"/>
        </w:rPr>
        <w:t xml:space="preserve">, si rileva una </w:t>
      </w:r>
      <w:r w:rsidRPr="00242194">
        <w:rPr>
          <w:rFonts w:ascii="Times New Roman" w:hAnsi="Times New Roman" w:cs="Times New Roman"/>
          <w:i/>
          <w:sz w:val="24"/>
          <w:szCs w:val="24"/>
        </w:rPr>
        <w:t>duplice emergenza</w:t>
      </w:r>
      <w:r>
        <w:rPr>
          <w:rFonts w:ascii="Times New Roman" w:hAnsi="Times New Roman" w:cs="Times New Roman"/>
          <w:sz w:val="24"/>
          <w:szCs w:val="24"/>
        </w:rPr>
        <w:t xml:space="preserve">: da un lato, compaiono sempre più ricerche e riflessioni scientifiche che pongono al centro la questione deontologica anche in termini di un’irrinunciabile componente dell’agire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professionale e della competenza educativa e pedagogica e </w:t>
      </w:r>
      <w:r w:rsidR="00242194">
        <w:rPr>
          <w:rFonts w:ascii="Times New Roman" w:hAnsi="Times New Roman" w:cs="Times New Roman"/>
          <w:sz w:val="24"/>
          <w:szCs w:val="24"/>
        </w:rPr>
        <w:t xml:space="preserve">di </w:t>
      </w:r>
      <w:r w:rsidR="00FB1A93">
        <w:rPr>
          <w:rFonts w:ascii="Times New Roman" w:hAnsi="Times New Roman" w:cs="Times New Roman"/>
          <w:sz w:val="24"/>
          <w:szCs w:val="24"/>
        </w:rPr>
        <w:t>una necessità intrinseca a</w:t>
      </w:r>
      <w:r>
        <w:rPr>
          <w:rFonts w:ascii="Times New Roman" w:hAnsi="Times New Roman" w:cs="Times New Roman"/>
          <w:sz w:val="24"/>
          <w:szCs w:val="24"/>
        </w:rPr>
        <w:t>lle relazioni nelle orga</w:t>
      </w:r>
      <w:r w:rsidR="00296CDD">
        <w:rPr>
          <w:rFonts w:ascii="Times New Roman" w:hAnsi="Times New Roman" w:cs="Times New Roman"/>
          <w:sz w:val="24"/>
          <w:szCs w:val="24"/>
        </w:rPr>
        <w:t>nizzazioni educative (Cenerini,</w:t>
      </w:r>
      <w:r>
        <w:rPr>
          <w:rFonts w:ascii="Times New Roman" w:hAnsi="Times New Roman" w:cs="Times New Roman"/>
          <w:sz w:val="24"/>
          <w:szCs w:val="24"/>
        </w:rPr>
        <w:t xml:space="preserve"> Drago, 2000; Xodo, 2000; Milani, 2013; Perlino, </w:t>
      </w:r>
      <w:r w:rsidR="00296CDD">
        <w:rPr>
          <w:rFonts w:ascii="Times New Roman" w:hAnsi="Times New Roman" w:cs="Times New Roman"/>
          <w:sz w:val="24"/>
          <w:szCs w:val="24"/>
        </w:rPr>
        <w:t>2013; Contini, Demozzi, Fabbri,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25715">
        <w:rPr>
          <w:rFonts w:ascii="Times New Roman" w:hAnsi="Times New Roman" w:cs="Times New Roman"/>
          <w:sz w:val="24"/>
          <w:szCs w:val="24"/>
        </w:rPr>
        <w:t>olomelli, 2014</w:t>
      </w:r>
      <w:r w:rsidR="00296CDD">
        <w:rPr>
          <w:rFonts w:ascii="Times New Roman" w:hAnsi="Times New Roman" w:cs="Times New Roman"/>
          <w:sz w:val="24"/>
          <w:szCs w:val="24"/>
        </w:rPr>
        <w:t>; Milani, Boeris,</w:t>
      </w:r>
      <w:r>
        <w:rPr>
          <w:rFonts w:ascii="Times New Roman" w:hAnsi="Times New Roman" w:cs="Times New Roman"/>
          <w:sz w:val="24"/>
          <w:szCs w:val="24"/>
        </w:rPr>
        <w:t xml:space="preserve"> Guarcello, 2021)</w:t>
      </w:r>
      <w:r w:rsidR="00242194">
        <w:rPr>
          <w:rFonts w:ascii="Times New Roman" w:hAnsi="Times New Roman" w:cs="Times New Roman"/>
          <w:sz w:val="24"/>
          <w:szCs w:val="24"/>
        </w:rPr>
        <w:t xml:space="preserve">; dall’altro lato, si evidenzia una povertà di strumenti, di indicazioni di linee di sviluppo e di tracce per la formazione dei docenti che orientino le prassi quotidiane e </w:t>
      </w:r>
      <w:r w:rsidR="00B75CDD">
        <w:rPr>
          <w:rFonts w:ascii="Times New Roman" w:hAnsi="Times New Roman" w:cs="Times New Roman"/>
          <w:sz w:val="24"/>
          <w:szCs w:val="24"/>
        </w:rPr>
        <w:t>che consentano di far fronte a</w:t>
      </w:r>
      <w:r w:rsidR="00242194">
        <w:rPr>
          <w:rFonts w:ascii="Times New Roman" w:hAnsi="Times New Roman" w:cs="Times New Roman"/>
          <w:sz w:val="24"/>
          <w:szCs w:val="24"/>
        </w:rPr>
        <w:t>i dilemmi etici nell’agire educativo quotidiano in tutte le molteplici dimensioni organizzative (Pellerey,</w:t>
      </w:r>
      <w:r w:rsidR="00FE11D7">
        <w:rPr>
          <w:rFonts w:ascii="Times New Roman" w:hAnsi="Times New Roman" w:cs="Times New Roman"/>
          <w:sz w:val="24"/>
          <w:szCs w:val="24"/>
        </w:rPr>
        <w:t xml:space="preserve"> 1999</w:t>
      </w:r>
      <w:r w:rsidR="00242194">
        <w:rPr>
          <w:rFonts w:ascii="Times New Roman" w:hAnsi="Times New Roman" w:cs="Times New Roman"/>
          <w:sz w:val="24"/>
          <w:szCs w:val="24"/>
        </w:rPr>
        <w:t>; Perlino, 2013</w:t>
      </w:r>
      <w:r w:rsidR="00296CDD">
        <w:rPr>
          <w:rFonts w:ascii="Times New Roman" w:hAnsi="Times New Roman" w:cs="Times New Roman"/>
          <w:sz w:val="24"/>
          <w:szCs w:val="24"/>
        </w:rPr>
        <w:t>; Malone, 2020; Milani, Boeris,</w:t>
      </w:r>
      <w:r w:rsidR="00242194">
        <w:rPr>
          <w:rFonts w:ascii="Times New Roman" w:hAnsi="Times New Roman" w:cs="Times New Roman"/>
          <w:sz w:val="24"/>
          <w:szCs w:val="24"/>
        </w:rPr>
        <w:t xml:space="preserve"> Guarcello, 2021).</w:t>
      </w:r>
      <w:r w:rsidR="00B75CDD">
        <w:rPr>
          <w:rFonts w:ascii="Times New Roman" w:hAnsi="Times New Roman" w:cs="Times New Roman"/>
          <w:sz w:val="24"/>
          <w:szCs w:val="24"/>
        </w:rPr>
        <w:t xml:space="preserve"> In questa prospettiva, è importante allenare a porsi le domande etiche, a decifrare e a interpretare le azioni, i contesti, le situazioni e le interrelazioni, all’interno delle diverse organizzazioni educative, in termini etici: si tratta di educare all’esercizio della “</w:t>
      </w:r>
      <w:r w:rsidR="00B75CDD" w:rsidRPr="00B75CDD">
        <w:rPr>
          <w:rFonts w:ascii="Times New Roman" w:hAnsi="Times New Roman" w:cs="Times New Roman"/>
          <w:i/>
          <w:sz w:val="24"/>
          <w:szCs w:val="24"/>
        </w:rPr>
        <w:t>metacompetenza della deontologicità</w:t>
      </w:r>
      <w:r w:rsidR="00B75CDD">
        <w:rPr>
          <w:rFonts w:ascii="Times New Roman" w:hAnsi="Times New Roman" w:cs="Times New Roman"/>
          <w:i/>
          <w:sz w:val="24"/>
          <w:szCs w:val="24"/>
        </w:rPr>
        <w:t>”</w:t>
      </w:r>
      <w:r w:rsidR="00B75CDD">
        <w:rPr>
          <w:rFonts w:ascii="Times New Roman" w:hAnsi="Times New Roman" w:cs="Times New Roman"/>
          <w:sz w:val="24"/>
          <w:szCs w:val="24"/>
        </w:rPr>
        <w:t xml:space="preserve"> (Milani, 2013) come sguardo critico in grado di leggere l’agire, i processi e le competenze educativi come espressione e realizzazione di intenti etici indirizzati a realizzare giustizia educativa, equità, rispetto dei diritti dei minori, delle minoranze e dei diritti umani, in relazione non solamente al rapporto allievi-docenti, ma anche docenti-genitori (o affidatari e stakeholder), docenti-territorio, docenti-comunità educante e, infine, docenti-corpi sociali. La </w:t>
      </w:r>
      <w:r w:rsidR="00B75CDD" w:rsidRPr="00FB1A93">
        <w:rPr>
          <w:rFonts w:ascii="Times New Roman" w:hAnsi="Times New Roman" w:cs="Times New Roman"/>
          <w:i/>
          <w:sz w:val="24"/>
          <w:szCs w:val="24"/>
        </w:rPr>
        <w:t>deontologicità</w:t>
      </w:r>
      <w:r w:rsidR="00FB1A93">
        <w:rPr>
          <w:rFonts w:ascii="Times New Roman" w:hAnsi="Times New Roman" w:cs="Times New Roman"/>
          <w:sz w:val="24"/>
          <w:szCs w:val="24"/>
        </w:rPr>
        <w:t>,</w:t>
      </w:r>
      <w:r w:rsidR="00B75CDD">
        <w:rPr>
          <w:rFonts w:ascii="Times New Roman" w:hAnsi="Times New Roman" w:cs="Times New Roman"/>
          <w:sz w:val="24"/>
          <w:szCs w:val="24"/>
        </w:rPr>
        <w:t xml:space="preserve"> come metacompetenza</w:t>
      </w:r>
      <w:r w:rsidR="00FB1A93">
        <w:rPr>
          <w:rFonts w:ascii="Times New Roman" w:hAnsi="Times New Roman" w:cs="Times New Roman"/>
          <w:sz w:val="24"/>
          <w:szCs w:val="24"/>
        </w:rPr>
        <w:t>,</w:t>
      </w:r>
      <w:r w:rsidR="00B75CDD">
        <w:rPr>
          <w:rFonts w:ascii="Times New Roman" w:hAnsi="Times New Roman" w:cs="Times New Roman"/>
          <w:sz w:val="24"/>
          <w:szCs w:val="24"/>
        </w:rPr>
        <w:t xml:space="preserve"> costituisce l’asse portante che delinea atteggiamenti e posture etiche non solo del singolo insegna</w:t>
      </w:r>
      <w:r w:rsidR="00FB1A93">
        <w:rPr>
          <w:rFonts w:ascii="Times New Roman" w:hAnsi="Times New Roman" w:cs="Times New Roman"/>
          <w:sz w:val="24"/>
          <w:szCs w:val="24"/>
        </w:rPr>
        <w:t>n</w:t>
      </w:r>
      <w:r w:rsidR="00B75CDD">
        <w:rPr>
          <w:rFonts w:ascii="Times New Roman" w:hAnsi="Times New Roman" w:cs="Times New Roman"/>
          <w:sz w:val="24"/>
          <w:szCs w:val="24"/>
        </w:rPr>
        <w:t>te, ma dell’intero corpo docente e dell’organizzazione nel suo insieme: la deontologicità, infatti, costituisce un’</w:t>
      </w:r>
      <w:r w:rsidR="002B7010">
        <w:rPr>
          <w:rFonts w:ascii="Times New Roman" w:hAnsi="Times New Roman" w:cs="Times New Roman"/>
          <w:sz w:val="24"/>
          <w:szCs w:val="24"/>
        </w:rPr>
        <w:t>id</w:t>
      </w:r>
      <w:r w:rsidR="00FB1A93">
        <w:rPr>
          <w:rFonts w:ascii="Times New Roman" w:hAnsi="Times New Roman" w:cs="Times New Roman"/>
          <w:sz w:val="24"/>
          <w:szCs w:val="24"/>
        </w:rPr>
        <w:t>ea regolativa e un pilastro</w:t>
      </w:r>
      <w:r w:rsidR="002B7010">
        <w:rPr>
          <w:rFonts w:ascii="Times New Roman" w:hAnsi="Times New Roman" w:cs="Times New Roman"/>
          <w:sz w:val="24"/>
          <w:szCs w:val="24"/>
        </w:rPr>
        <w:t xml:space="preserve"> di un’</w:t>
      </w:r>
      <w:r w:rsidR="00FA787D">
        <w:rPr>
          <w:rFonts w:ascii="Times New Roman" w:hAnsi="Times New Roman" w:cs="Times New Roman"/>
          <w:sz w:val="24"/>
          <w:szCs w:val="24"/>
        </w:rPr>
        <w:t>“</w:t>
      </w:r>
      <w:r w:rsidR="002B7010">
        <w:rPr>
          <w:rFonts w:ascii="Times New Roman" w:hAnsi="Times New Roman" w:cs="Times New Roman"/>
          <w:sz w:val="24"/>
          <w:szCs w:val="24"/>
        </w:rPr>
        <w:t>istituzione affidabile</w:t>
      </w:r>
      <w:r w:rsidR="00FA787D">
        <w:rPr>
          <w:rFonts w:ascii="Times New Roman" w:hAnsi="Times New Roman" w:cs="Times New Roman"/>
          <w:sz w:val="24"/>
          <w:szCs w:val="24"/>
        </w:rPr>
        <w:t>”</w:t>
      </w:r>
      <w:r w:rsidR="002B7010">
        <w:rPr>
          <w:rFonts w:ascii="Times New Roman" w:hAnsi="Times New Roman" w:cs="Times New Roman"/>
          <w:sz w:val="24"/>
          <w:szCs w:val="24"/>
        </w:rPr>
        <w:t>, ossia degna di fiducia educativa (Milani,</w:t>
      </w:r>
      <w:r w:rsidR="00FA787D">
        <w:rPr>
          <w:rFonts w:ascii="Times New Roman" w:hAnsi="Times New Roman" w:cs="Times New Roman"/>
          <w:sz w:val="24"/>
          <w:szCs w:val="24"/>
        </w:rPr>
        <w:t xml:space="preserve"> 2019</w:t>
      </w:r>
      <w:r w:rsidR="004D69A4">
        <w:rPr>
          <w:rFonts w:ascii="Times New Roman" w:hAnsi="Times New Roman" w:cs="Times New Roman"/>
          <w:sz w:val="24"/>
          <w:szCs w:val="24"/>
        </w:rPr>
        <w:t>a</w:t>
      </w:r>
      <w:r w:rsidR="00FA787D">
        <w:rPr>
          <w:rFonts w:ascii="Times New Roman" w:hAnsi="Times New Roman" w:cs="Times New Roman"/>
          <w:sz w:val="24"/>
          <w:szCs w:val="24"/>
        </w:rPr>
        <w:t>)</w:t>
      </w:r>
      <w:r w:rsidR="00DF42F4">
        <w:rPr>
          <w:rFonts w:ascii="Times New Roman" w:hAnsi="Times New Roman" w:cs="Times New Roman"/>
          <w:sz w:val="24"/>
          <w:szCs w:val="24"/>
        </w:rPr>
        <w:t>.</w:t>
      </w:r>
    </w:p>
    <w:p w14:paraId="67FAB406" w14:textId="77777777" w:rsidR="00C47B09" w:rsidRDefault="00C47B09" w:rsidP="009367A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4EFF29B" w14:textId="43D7C54C" w:rsidR="00C47B09" w:rsidRPr="00BC73D6" w:rsidRDefault="00C47B09" w:rsidP="00C47B09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  <w:t>Linee per una formazione etico-deontologica degli insegnanti</w:t>
      </w:r>
    </w:p>
    <w:p w14:paraId="14A42B89" w14:textId="5414004A" w:rsidR="00704D4E" w:rsidRDefault="006F421D" w:rsidP="00DF42F4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formazione degli insegnant</w:t>
      </w:r>
      <w:r w:rsidR="00DF42F4">
        <w:rPr>
          <w:rFonts w:ascii="Times New Roman" w:hAnsi="Times New Roman" w:cs="Times New Roman"/>
          <w:sz w:val="24"/>
          <w:szCs w:val="24"/>
        </w:rPr>
        <w:t xml:space="preserve">i deve urgentemente colmare lo iato tra una preparazione tecnico-metodologica e una più attenta preparazione più propriamente pedagogica e, soprattutto, etica. L’esercizio primario è quello indirizzato </w:t>
      </w:r>
      <w:r>
        <w:rPr>
          <w:rFonts w:ascii="Times New Roman" w:hAnsi="Times New Roman" w:cs="Times New Roman"/>
          <w:sz w:val="24"/>
          <w:szCs w:val="24"/>
        </w:rPr>
        <w:t xml:space="preserve">verso </w:t>
      </w:r>
      <w:r w:rsidR="00DF42F4">
        <w:rPr>
          <w:rFonts w:ascii="Times New Roman" w:hAnsi="Times New Roman" w:cs="Times New Roman"/>
          <w:sz w:val="24"/>
          <w:szCs w:val="24"/>
        </w:rPr>
        <w:t xml:space="preserve">una riflessione critica sui processi in atto, interrogandosi sull’eticità delle condotte, delle prassi, delle </w:t>
      </w:r>
      <w:r>
        <w:rPr>
          <w:rFonts w:ascii="Times New Roman" w:hAnsi="Times New Roman" w:cs="Times New Roman"/>
          <w:sz w:val="24"/>
          <w:szCs w:val="24"/>
        </w:rPr>
        <w:t>azioni educative professionali,</w:t>
      </w:r>
      <w:r w:rsidR="00DF42F4">
        <w:rPr>
          <w:rFonts w:ascii="Times New Roman" w:hAnsi="Times New Roman" w:cs="Times New Roman"/>
          <w:sz w:val="24"/>
          <w:szCs w:val="24"/>
        </w:rPr>
        <w:t xml:space="preserve"> portando </w:t>
      </w:r>
      <w:r>
        <w:rPr>
          <w:rFonts w:ascii="Times New Roman" w:hAnsi="Times New Roman" w:cs="Times New Roman"/>
          <w:sz w:val="24"/>
          <w:szCs w:val="24"/>
        </w:rPr>
        <w:t xml:space="preserve">così </w:t>
      </w:r>
      <w:r w:rsidR="00DF42F4">
        <w:rPr>
          <w:rFonts w:ascii="Times New Roman" w:hAnsi="Times New Roman" w:cs="Times New Roman"/>
          <w:sz w:val="24"/>
          <w:szCs w:val="24"/>
        </w:rPr>
        <w:t xml:space="preserve">alla luce dilemmi e questioni etiche nascoste nelle pieghe della quotidianità dell’agire educativo. Si tratta di porre in essere una relazione dinamica e generativa tra intenzionalità, </w:t>
      </w:r>
      <w:r w:rsidR="00DF42F4">
        <w:rPr>
          <w:rFonts w:ascii="Times New Roman" w:hAnsi="Times New Roman" w:cs="Times New Roman"/>
          <w:sz w:val="24"/>
          <w:szCs w:val="24"/>
        </w:rPr>
        <w:lastRenderedPageBreak/>
        <w:t xml:space="preserve">progettualità, riflessività e deontologicità al fine di promuovere </w:t>
      </w:r>
      <w:r w:rsidR="00704D4E">
        <w:rPr>
          <w:rFonts w:ascii="Times New Roman" w:hAnsi="Times New Roman" w:cs="Times New Roman"/>
          <w:sz w:val="24"/>
          <w:szCs w:val="24"/>
        </w:rPr>
        <w:t>una coerenza interna che non eluda le domande etiche di fronte a ingiustizie, discriminazioni, sperequazioni, disuguaglianze che possono comportare esisti negativi in termini di giustizia educativa, equità, qualità dell’educazione ed affidabilità dell’istituzione nei confronti degli allievi e delle famiglie.</w:t>
      </w:r>
    </w:p>
    <w:p w14:paraId="6E077493" w14:textId="77777777" w:rsidR="00704D4E" w:rsidRDefault="00704D4E" w:rsidP="00DF42F4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questa direzione, si ritengono essenziali alcune </w:t>
      </w:r>
      <w:r w:rsidRPr="00FF01F2">
        <w:rPr>
          <w:rFonts w:ascii="Times New Roman" w:hAnsi="Times New Roman" w:cs="Times New Roman"/>
          <w:i/>
          <w:sz w:val="24"/>
          <w:szCs w:val="24"/>
        </w:rPr>
        <w:t>linee di riflessione e di sviluppo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1F2">
        <w:rPr>
          <w:rFonts w:ascii="Times New Roman" w:hAnsi="Times New Roman" w:cs="Times New Roman"/>
          <w:i/>
          <w:sz w:val="24"/>
          <w:szCs w:val="24"/>
        </w:rPr>
        <w:t>sulle quali orientare la formazione etico-deontologica</w:t>
      </w:r>
      <w:r>
        <w:rPr>
          <w:rFonts w:ascii="Times New Roman" w:hAnsi="Times New Roman" w:cs="Times New Roman"/>
          <w:sz w:val="24"/>
          <w:szCs w:val="24"/>
        </w:rPr>
        <w:t xml:space="preserve"> e la capacità di gestire i dilemmi etici:</w:t>
      </w:r>
    </w:p>
    <w:p w14:paraId="3826677C" w14:textId="46A1B1FC" w:rsidR="00704D4E" w:rsidRDefault="00704D4E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una formazione specifica che miri alla analisi e alla riflessione sui diritti dei minori (</w:t>
      </w:r>
      <w:r w:rsidRPr="00DF1944">
        <w:rPr>
          <w:rFonts w:ascii="Times New Roman" w:hAnsi="Times New Roman" w:cs="Times New Roman"/>
          <w:sz w:val="24"/>
          <w:szCs w:val="24"/>
        </w:rPr>
        <w:t>Milani, 2019</w:t>
      </w:r>
      <w:r w:rsidR="004D69A4" w:rsidRPr="00DF194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0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sanciti dalla </w:t>
      </w:r>
      <w:r w:rsidRPr="00704D4E">
        <w:rPr>
          <w:rFonts w:ascii="Times New Roman" w:hAnsi="Times New Roman" w:cs="Times New Roman"/>
          <w:i/>
          <w:sz w:val="24"/>
          <w:szCs w:val="24"/>
        </w:rPr>
        <w:t>Convenzione diritti dell’infanzia e dell’adolescenza</w:t>
      </w:r>
      <w:r>
        <w:rPr>
          <w:rFonts w:ascii="Times New Roman" w:hAnsi="Times New Roman" w:cs="Times New Roman"/>
          <w:sz w:val="24"/>
          <w:szCs w:val="24"/>
        </w:rPr>
        <w:t xml:space="preserve"> (ONU; 1989)</w:t>
      </w:r>
      <w:r w:rsidR="00FF0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sui Diritti Umani e alle ricadute concrete nell’ambito della progettazione, dei programmi e dell’organizzazione scolastici e </w:t>
      </w:r>
      <w:r w:rsidR="00FF01F2">
        <w:rPr>
          <w:rFonts w:ascii="Times New Roman" w:hAnsi="Times New Roman" w:cs="Times New Roman"/>
          <w:sz w:val="24"/>
          <w:szCs w:val="24"/>
        </w:rPr>
        <w:t>un’analisi de</w:t>
      </w:r>
      <w:r>
        <w:rPr>
          <w:rFonts w:ascii="Times New Roman" w:hAnsi="Times New Roman" w:cs="Times New Roman"/>
          <w:sz w:val="24"/>
          <w:szCs w:val="24"/>
        </w:rPr>
        <w:t xml:space="preserve">lle azioni con i genitori, con il territorio, con la comunità educante e </w:t>
      </w:r>
      <w:r w:rsidR="00FF01F2"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>tutti i corpi sociali;</w:t>
      </w:r>
    </w:p>
    <w:p w14:paraId="6E9F59B0" w14:textId="27005010" w:rsidR="00704D4E" w:rsidRDefault="00704D4E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 sviluppo di linee interpretative del concetto di giustizia educativa in rapporto alla povertà educativa, ai rischi di marginalità, marginalizzazione e discriminazione e al ruolo di impegno socio-politico della scuola come organizzazione sociale e di responsabilità etico-deontologica</w:t>
      </w:r>
      <w:r w:rsidR="00550CD6">
        <w:rPr>
          <w:rFonts w:ascii="Times New Roman" w:hAnsi="Times New Roman" w:cs="Times New Roman"/>
          <w:sz w:val="24"/>
          <w:szCs w:val="24"/>
        </w:rPr>
        <w:t>, in una visione anche di attenzione alle dinamiche determinate dalle molteplici presenze interculturali e alle posture etiche che richiedono la necessità di decolonizzare il pensiero degli insegnanti;</w:t>
      </w:r>
    </w:p>
    <w:p w14:paraId="67B899FD" w14:textId="56C9E193" w:rsidR="00550CD6" w:rsidRDefault="00550CD6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 potenziamento di strumenti critico-riflessivi utili a comprendere i rischi di condizionamento presenti nell’istituzione scolastica come istituzione totale per avviare modalità di azione educativa e di insegnamento non omologanti, oppressive e distorte, ma capaci di promuovere negli allievi condotte responsa</w:t>
      </w:r>
      <w:r w:rsidR="006F5DF8">
        <w:rPr>
          <w:rFonts w:ascii="Times New Roman" w:hAnsi="Times New Roman" w:cs="Times New Roman"/>
          <w:sz w:val="24"/>
          <w:szCs w:val="24"/>
        </w:rPr>
        <w:t>bilizzanti, intenzionali, proble</w:t>
      </w:r>
      <w:r>
        <w:rPr>
          <w:rFonts w:ascii="Times New Roman" w:hAnsi="Times New Roman" w:cs="Times New Roman"/>
          <w:sz w:val="24"/>
          <w:szCs w:val="24"/>
        </w:rPr>
        <w:t xml:space="preserve">matizzanti, democratiche e libere, attraverso </w:t>
      </w:r>
      <w:r w:rsidR="002E1B23">
        <w:rPr>
          <w:rFonts w:ascii="Times New Roman" w:hAnsi="Times New Roman" w:cs="Times New Roman"/>
          <w:sz w:val="24"/>
          <w:szCs w:val="24"/>
        </w:rPr>
        <w:t>“pratiche di libertà” (Freire</w:t>
      </w:r>
      <w:r w:rsidR="0075672D">
        <w:rPr>
          <w:rFonts w:ascii="Times New Roman" w:hAnsi="Times New Roman" w:cs="Times New Roman"/>
          <w:sz w:val="24"/>
          <w:szCs w:val="24"/>
        </w:rPr>
        <w:t xml:space="preserve">, 1974; </w:t>
      </w:r>
      <w:r w:rsidR="002E1B23">
        <w:rPr>
          <w:rFonts w:ascii="Times New Roman" w:hAnsi="Times New Roman" w:cs="Times New Roman"/>
          <w:sz w:val="24"/>
          <w:szCs w:val="24"/>
        </w:rPr>
        <w:t xml:space="preserve">2002): </w:t>
      </w:r>
      <w:r>
        <w:rPr>
          <w:rFonts w:ascii="Times New Roman" w:hAnsi="Times New Roman" w:cs="Times New Roman"/>
          <w:sz w:val="24"/>
          <w:szCs w:val="24"/>
        </w:rPr>
        <w:t>la partecipazione, la cooperazione, la coeducazione e la co-costruzione di significati e di cultura, in una dimensione di generazione di co-intenzionalità tra insegnanti e allievi;</w:t>
      </w:r>
    </w:p>
    <w:p w14:paraId="282617DB" w14:textId="66441ECB" w:rsidR="002E1B23" w:rsidRDefault="002E1B23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lo sviluppo di riflessioni orientate a “significare la qualità dell’educazione” nei contesti scolastici in relazione alle differenze sociali, culturali, di genere…, ossia a dare una </w:t>
      </w:r>
      <w:r w:rsidR="00D75F8E">
        <w:rPr>
          <w:rFonts w:ascii="Times New Roman" w:hAnsi="Times New Roman" w:cs="Times New Roman"/>
          <w:sz w:val="24"/>
          <w:szCs w:val="24"/>
        </w:rPr>
        <w:t xml:space="preserve">lettura </w:t>
      </w:r>
      <w:r>
        <w:rPr>
          <w:rFonts w:ascii="Times New Roman" w:hAnsi="Times New Roman" w:cs="Times New Roman"/>
          <w:sz w:val="24"/>
          <w:szCs w:val="24"/>
        </w:rPr>
        <w:t xml:space="preserve">sociale, politica, ma anche personale e personalizzata dei bisogni </w:t>
      </w:r>
      <w:r>
        <w:rPr>
          <w:rFonts w:ascii="Times New Roman" w:hAnsi="Times New Roman" w:cs="Times New Roman"/>
          <w:sz w:val="24"/>
          <w:szCs w:val="24"/>
        </w:rPr>
        <w:lastRenderedPageBreak/>
        <w:t>educativi e delle domande di senso di fronte alle ingiustizie educative e della società, dando spazio e voce agli studenti e alle studentesse nella direzione di un’</w:t>
      </w:r>
      <w:r w:rsidRPr="002E1B23">
        <w:rPr>
          <w:rFonts w:ascii="Times New Roman" w:hAnsi="Times New Roman" w:cs="Times New Roman"/>
          <w:i/>
          <w:sz w:val="24"/>
          <w:szCs w:val="24"/>
        </w:rPr>
        <w:t>advocacy</w:t>
      </w:r>
      <w:r>
        <w:rPr>
          <w:rFonts w:ascii="Times New Roman" w:hAnsi="Times New Roman" w:cs="Times New Roman"/>
          <w:sz w:val="24"/>
          <w:szCs w:val="24"/>
        </w:rPr>
        <w:t xml:space="preserve"> da promuovere come modalità e postura etica degli insegnanti;</w:t>
      </w:r>
    </w:p>
    <w:p w14:paraId="198C24D3" w14:textId="73887E49" w:rsidR="002E1B23" w:rsidRDefault="002E1B23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infine</w:t>
      </w:r>
      <w:r w:rsidR="00816E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poniamo la promozione di momenti specifici di riflessione a partire dai dilemmi etici </w:t>
      </w:r>
      <w:r w:rsidR="00816EA3">
        <w:rPr>
          <w:rFonts w:ascii="Times New Roman" w:hAnsi="Times New Roman" w:cs="Times New Roman"/>
          <w:sz w:val="24"/>
          <w:szCs w:val="24"/>
        </w:rPr>
        <w:t>che possono emergere nei diversi livelli dell’istituzione scolastica e dell’istruzione</w:t>
      </w:r>
      <w:r w:rsidR="008C16F3">
        <w:rPr>
          <w:rFonts w:ascii="Times New Roman" w:hAnsi="Times New Roman" w:cs="Times New Roman"/>
          <w:sz w:val="24"/>
          <w:szCs w:val="24"/>
        </w:rPr>
        <w:t xml:space="preserve"> e nei</w:t>
      </w:r>
      <w:r w:rsidR="00816EA3">
        <w:rPr>
          <w:rFonts w:ascii="Times New Roman" w:hAnsi="Times New Roman" w:cs="Times New Roman"/>
          <w:sz w:val="24"/>
          <w:szCs w:val="24"/>
        </w:rPr>
        <w:t xml:space="preserve"> diversi momenti del processo educativo attuato in ambito sco</w:t>
      </w:r>
      <w:r w:rsidR="008C16F3">
        <w:rPr>
          <w:rFonts w:ascii="Times New Roman" w:hAnsi="Times New Roman" w:cs="Times New Roman"/>
          <w:sz w:val="24"/>
          <w:szCs w:val="24"/>
        </w:rPr>
        <w:t>lastico: l’esercizio della messa in atto di capacità di giudizio attraverso la messa in campo della metacompetenza della deontologicità deve consentire lo sviluppo della consapevolezza dell’educazione come azione etica a impatto sociale e politico.</w:t>
      </w:r>
    </w:p>
    <w:p w14:paraId="5661B4D9" w14:textId="0EA44EB2" w:rsidR="008C16F3" w:rsidRDefault="008C16F3" w:rsidP="00704D4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L’auspicio perciò è che il legame debole tra deontologia e formazione degli insegnanti si alimenti della constatazione della necessità epistemologica e prassica affinché si sviluppi consapevolezza etica, responsabilità educativa, sociale e politica dell’agire professionale degli insegnanti.</w:t>
      </w:r>
    </w:p>
    <w:p w14:paraId="0A30B557" w14:textId="5D10DD80" w:rsidR="00BC73D6" w:rsidRDefault="00550CD6" w:rsidP="00C012B2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9A98295" w14:textId="01DD270C" w:rsid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703358B" w14:textId="203F48BA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129DDCD" w14:textId="77777777" w:rsidR="00281526" w:rsidRPr="00BC73D6" w:rsidRDefault="00281526" w:rsidP="00BC73D6">
      <w:pPr>
        <w:pStyle w:val="Titolo"/>
        <w:jc w:val="right"/>
        <w:rPr>
          <w:rFonts w:ascii="Footlight MT Light" w:hAnsi="Footlight MT Light"/>
          <w:b/>
          <w:smallCaps/>
          <w:color w:val="31849B" w:themeColor="accent5" w:themeShade="BF"/>
          <w:sz w:val="36"/>
        </w:rPr>
      </w:pPr>
      <w:r w:rsidRPr="00BC73D6">
        <w:rPr>
          <w:rFonts w:ascii="Footlight MT Light" w:hAnsi="Footlight MT Light"/>
          <w:b/>
          <w:smallCaps/>
          <w:color w:val="31849B" w:themeColor="accent5" w:themeShade="BF"/>
          <w:sz w:val="36"/>
        </w:rPr>
        <w:t>Bibliografia</w:t>
      </w:r>
    </w:p>
    <w:p w14:paraId="1E2EE62E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C9EC5B9" w14:textId="3B5FD307" w:rsidR="00D74199" w:rsidRDefault="00D74199" w:rsidP="00D7419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625715">
        <w:rPr>
          <w:rFonts w:ascii="Times New Roman" w:hAnsi="Times New Roman" w:cs="Times New Roman"/>
          <w:sz w:val="24"/>
          <w:szCs w:val="24"/>
        </w:rPr>
        <w:t>CENERINI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="002C4000">
        <w:rPr>
          <w:rFonts w:ascii="Times New Roman" w:hAnsi="Times New Roman" w:cs="Times New Roman"/>
          <w:sz w:val="24"/>
          <w:szCs w:val="24"/>
        </w:rPr>
        <w:t xml:space="preserve">, </w:t>
      </w:r>
      <w:r w:rsidRPr="00625715">
        <w:rPr>
          <w:rFonts w:ascii="Times New Roman" w:hAnsi="Times New Roman" w:cs="Times New Roman"/>
          <w:sz w:val="24"/>
          <w:szCs w:val="24"/>
        </w:rPr>
        <w:t xml:space="preserve">DRAGO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25715">
        <w:rPr>
          <w:rFonts w:ascii="Times New Roman" w:hAnsi="Times New Roman" w:cs="Times New Roman"/>
          <w:sz w:val="24"/>
          <w:szCs w:val="24"/>
        </w:rPr>
        <w:t>(Eds.)</w:t>
      </w:r>
      <w:r>
        <w:rPr>
          <w:rFonts w:ascii="Times New Roman" w:hAnsi="Times New Roman" w:cs="Times New Roman"/>
          <w:sz w:val="24"/>
          <w:szCs w:val="24"/>
        </w:rPr>
        <w:t xml:space="preserve"> (2000)</w:t>
      </w:r>
      <w:r w:rsidRPr="00625715">
        <w:rPr>
          <w:rFonts w:ascii="Times New Roman" w:hAnsi="Times New Roman" w:cs="Times New Roman"/>
          <w:sz w:val="24"/>
          <w:szCs w:val="24"/>
        </w:rPr>
        <w:t xml:space="preserve">, </w:t>
      </w:r>
      <w:r w:rsidRPr="00DA4C20">
        <w:rPr>
          <w:rFonts w:ascii="Times New Roman" w:hAnsi="Times New Roman" w:cs="Times New Roman"/>
          <w:i/>
          <w:sz w:val="24"/>
          <w:szCs w:val="24"/>
        </w:rPr>
        <w:t>Professionalità e codice deontologico degli insegnanti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300B">
        <w:rPr>
          <w:rFonts w:ascii="Times New Roman" w:hAnsi="Times New Roman" w:cs="Times New Roman"/>
          <w:sz w:val="24"/>
          <w:szCs w:val="24"/>
        </w:rPr>
        <w:t>Trento: Erickson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F030F6" w14:textId="77777777" w:rsidR="00D74199" w:rsidRDefault="00D74199" w:rsidP="00BB78C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C204F48" w14:textId="7900C4B0" w:rsidR="00BB78C2" w:rsidRDefault="00BB78C2" w:rsidP="00BB78C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BB78C2">
        <w:rPr>
          <w:rFonts w:ascii="Times New Roman" w:hAnsi="Times New Roman" w:cs="Times New Roman"/>
          <w:sz w:val="24"/>
          <w:szCs w:val="24"/>
        </w:rPr>
        <w:t>CONTINI</w:t>
      </w:r>
      <w:r>
        <w:rPr>
          <w:rFonts w:ascii="Times New Roman" w:hAnsi="Times New Roman" w:cs="Times New Roman"/>
          <w:sz w:val="24"/>
          <w:szCs w:val="24"/>
        </w:rPr>
        <w:t xml:space="preserve"> M.G., </w:t>
      </w:r>
      <w:r w:rsidRPr="00BB78C2">
        <w:rPr>
          <w:rFonts w:ascii="Times New Roman" w:hAnsi="Times New Roman" w:cs="Times New Roman"/>
          <w:sz w:val="24"/>
          <w:szCs w:val="24"/>
        </w:rPr>
        <w:t>DEMOZZI</w:t>
      </w:r>
      <w:r>
        <w:rPr>
          <w:rFonts w:ascii="Times New Roman" w:hAnsi="Times New Roman" w:cs="Times New Roman"/>
          <w:sz w:val="24"/>
          <w:szCs w:val="24"/>
        </w:rPr>
        <w:t xml:space="preserve"> S., </w:t>
      </w:r>
      <w:r w:rsidRPr="00BB78C2">
        <w:rPr>
          <w:rFonts w:ascii="Times New Roman" w:hAnsi="Times New Roman" w:cs="Times New Roman"/>
          <w:sz w:val="24"/>
          <w:szCs w:val="24"/>
        </w:rPr>
        <w:t>FABBRI</w:t>
      </w:r>
      <w:r w:rsidR="00331E5D">
        <w:rPr>
          <w:rFonts w:ascii="Times New Roman" w:hAnsi="Times New Roman" w:cs="Times New Roman"/>
          <w:sz w:val="24"/>
          <w:szCs w:val="24"/>
        </w:rPr>
        <w:t xml:space="preserve"> 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8C2">
        <w:rPr>
          <w:rFonts w:ascii="Times New Roman" w:hAnsi="Times New Roman" w:cs="Times New Roman"/>
          <w:sz w:val="24"/>
          <w:szCs w:val="24"/>
        </w:rPr>
        <w:t>TOMELLI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="00436A77">
        <w:rPr>
          <w:rFonts w:ascii="Times New Roman" w:hAnsi="Times New Roman" w:cs="Times New Roman"/>
          <w:sz w:val="24"/>
          <w:szCs w:val="24"/>
        </w:rPr>
        <w:t xml:space="preserve"> (2014)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78C2">
        <w:rPr>
          <w:rFonts w:ascii="Times New Roman" w:hAnsi="Times New Roman" w:cs="Times New Roman"/>
          <w:i/>
          <w:sz w:val="24"/>
          <w:szCs w:val="24"/>
        </w:rPr>
        <w:t>Deontologia pedagogica. Riflessività e pratiche di resistenza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8C2">
        <w:rPr>
          <w:rFonts w:ascii="Times New Roman" w:hAnsi="Times New Roman" w:cs="Times New Roman"/>
          <w:sz w:val="24"/>
          <w:szCs w:val="24"/>
        </w:rPr>
        <w:t xml:space="preserve"> </w:t>
      </w:r>
      <w:r w:rsidRPr="00436A77">
        <w:rPr>
          <w:rFonts w:ascii="Times New Roman" w:hAnsi="Times New Roman" w:cs="Times New Roman"/>
          <w:sz w:val="24"/>
          <w:szCs w:val="24"/>
        </w:rPr>
        <w:t>Milano: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77">
        <w:rPr>
          <w:rFonts w:ascii="Times New Roman" w:hAnsi="Times New Roman" w:cs="Times New Roman"/>
          <w:sz w:val="24"/>
          <w:szCs w:val="24"/>
        </w:rPr>
        <w:t>FrancoAngeli.</w:t>
      </w:r>
    </w:p>
    <w:p w14:paraId="2D86830F" w14:textId="181C7E40" w:rsidR="00BB3DFB" w:rsidRDefault="00BB3DFB" w:rsidP="00BB78C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8242974" w14:textId="1D91BF73" w:rsidR="00BB3DFB" w:rsidRDefault="00BB3DFB" w:rsidP="00BB78C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 P. (1974)</w:t>
      </w:r>
      <w:r w:rsidR="00567B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DFB">
        <w:rPr>
          <w:rFonts w:ascii="Times New Roman" w:hAnsi="Times New Roman" w:cs="Times New Roman"/>
          <w:i/>
          <w:sz w:val="24"/>
          <w:szCs w:val="24"/>
        </w:rPr>
        <w:t>L’educazione come pratica della libertà</w:t>
      </w:r>
      <w:r>
        <w:rPr>
          <w:rFonts w:ascii="Times New Roman" w:hAnsi="Times New Roman" w:cs="Times New Roman"/>
          <w:sz w:val="24"/>
          <w:szCs w:val="24"/>
        </w:rPr>
        <w:t>, Milano: Arnoldo Mondadori Editore.</w:t>
      </w:r>
    </w:p>
    <w:p w14:paraId="28BFA0C7" w14:textId="0BE03CE5" w:rsidR="00567B95" w:rsidRDefault="00567B95" w:rsidP="00BB78C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B72C89E" w14:textId="1AD6D38E" w:rsidR="00BB78C2" w:rsidRPr="00436A77" w:rsidRDefault="00C012B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FREIRE </w:t>
      </w:r>
      <w:r w:rsidR="00567B95">
        <w:rPr>
          <w:rFonts w:ascii="Times New Roman" w:hAnsi="Times New Roman" w:cs="Times New Roman"/>
          <w:sz w:val="24"/>
          <w:szCs w:val="24"/>
        </w:rPr>
        <w:t xml:space="preserve">P. (2002), </w:t>
      </w:r>
      <w:r w:rsidR="00567B95" w:rsidRPr="00567B95">
        <w:rPr>
          <w:rFonts w:ascii="Times New Roman" w:hAnsi="Times New Roman" w:cs="Times New Roman"/>
          <w:i/>
          <w:sz w:val="24"/>
          <w:szCs w:val="24"/>
        </w:rPr>
        <w:t>La pedagogia degli oppressi</w:t>
      </w:r>
      <w:r w:rsidR="00567B95">
        <w:rPr>
          <w:rFonts w:ascii="Times New Roman" w:hAnsi="Times New Roman" w:cs="Times New Roman"/>
          <w:sz w:val="24"/>
          <w:szCs w:val="24"/>
        </w:rPr>
        <w:t>, Torino: EGA.</w:t>
      </w:r>
    </w:p>
    <w:p w14:paraId="74514B78" w14:textId="77777777" w:rsidR="00567B95" w:rsidRPr="00567B95" w:rsidRDefault="00567B95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398B5F6" w14:textId="5503228D" w:rsidR="00261F35" w:rsidRDefault="00E44F5C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E44F5C">
        <w:rPr>
          <w:rFonts w:ascii="Times New Roman" w:hAnsi="Times New Roman" w:cs="Times New Roman"/>
          <w:sz w:val="24"/>
          <w:szCs w:val="24"/>
          <w:lang w:val="en-GB"/>
        </w:rPr>
        <w:t>MALONE D. M. (2020),</w:t>
      </w:r>
      <w:r w:rsidRPr="00E44F5C">
        <w:rPr>
          <w:lang w:val="en-GB"/>
        </w:rPr>
        <w:t xml:space="preserve"> </w:t>
      </w:r>
      <w:r w:rsidRPr="00E44F5C">
        <w:rPr>
          <w:rFonts w:ascii="Times New Roman" w:hAnsi="Times New Roman" w:cs="Times New Roman"/>
          <w:sz w:val="24"/>
          <w:szCs w:val="24"/>
          <w:lang w:val="en-GB"/>
        </w:rPr>
        <w:t xml:space="preserve">Ethics education in teacher preparation: a case for stakeholder responsibility. </w:t>
      </w:r>
      <w:r w:rsidRPr="00E44F5C">
        <w:rPr>
          <w:rFonts w:ascii="Times New Roman" w:hAnsi="Times New Roman" w:cs="Times New Roman"/>
          <w:i/>
          <w:sz w:val="24"/>
          <w:szCs w:val="24"/>
        </w:rPr>
        <w:t>Ethics And Education</w:t>
      </w:r>
      <w:r w:rsidRPr="00E44F5C">
        <w:rPr>
          <w:rFonts w:ascii="Times New Roman" w:hAnsi="Times New Roman" w:cs="Times New Roman"/>
          <w:sz w:val="24"/>
          <w:szCs w:val="24"/>
        </w:rPr>
        <w:t>, vol. 15, 1, pp. 77-97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91E89" w14:textId="7A9057FE" w:rsidR="0035311E" w:rsidRDefault="0035311E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E8CA5C9" w14:textId="292C21E1" w:rsidR="0035311E" w:rsidRDefault="0035311E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MILANI, L. (2013). </w:t>
      </w:r>
      <w:r w:rsidRPr="0035311E">
        <w:rPr>
          <w:rFonts w:ascii="Times New Roman" w:hAnsi="Times New Roman" w:cs="Times New Roman"/>
          <w:i/>
          <w:sz w:val="24"/>
          <w:szCs w:val="24"/>
        </w:rPr>
        <w:t>Collettiva-Mente. Competenze e pratica per le équipe educative</w:t>
      </w:r>
      <w:r>
        <w:rPr>
          <w:rFonts w:ascii="Times New Roman" w:hAnsi="Times New Roman" w:cs="Times New Roman"/>
          <w:sz w:val="24"/>
          <w:szCs w:val="24"/>
        </w:rPr>
        <w:t>, Torino: SEI.</w:t>
      </w:r>
    </w:p>
    <w:p w14:paraId="53A4E25F" w14:textId="0F896BE6" w:rsidR="002B7010" w:rsidRDefault="002B7010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5FD0AC8" w14:textId="0FB8AB0B" w:rsidR="002B7010" w:rsidRDefault="002B7010" w:rsidP="0058751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B7010">
        <w:rPr>
          <w:rFonts w:ascii="Times New Roman" w:hAnsi="Times New Roman" w:cs="Times New Roman"/>
          <w:sz w:val="24"/>
          <w:szCs w:val="24"/>
        </w:rPr>
        <w:lastRenderedPageBreak/>
        <w:t>MILANI</w:t>
      </w:r>
      <w:r>
        <w:rPr>
          <w:rFonts w:ascii="Times New Roman" w:hAnsi="Times New Roman" w:cs="Times New Roman"/>
          <w:sz w:val="24"/>
          <w:szCs w:val="24"/>
        </w:rPr>
        <w:t>, L. (2019</w:t>
      </w:r>
      <w:r w:rsidR="005875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2B7010">
        <w:rPr>
          <w:rFonts w:ascii="Times New Roman" w:hAnsi="Times New Roman" w:cs="Times New Roman"/>
          <w:sz w:val="24"/>
          <w:szCs w:val="24"/>
        </w:rPr>
        <w:t xml:space="preserve"> Istituzioni scolastiche affidabili e formazione dei Dirigenti.</w:t>
      </w:r>
      <w:r w:rsidR="00587519">
        <w:rPr>
          <w:rFonts w:ascii="Times New Roman" w:hAnsi="Times New Roman" w:cs="Times New Roman"/>
          <w:sz w:val="24"/>
          <w:szCs w:val="24"/>
        </w:rPr>
        <w:t xml:space="preserve"> In: </w:t>
      </w:r>
      <w:r w:rsidRPr="002B7010">
        <w:rPr>
          <w:rFonts w:ascii="Times New Roman" w:hAnsi="Times New Roman" w:cs="Times New Roman"/>
          <w:sz w:val="24"/>
          <w:szCs w:val="24"/>
        </w:rPr>
        <w:t>ELIA</w:t>
      </w:r>
      <w:r>
        <w:rPr>
          <w:rFonts w:ascii="Times New Roman" w:hAnsi="Times New Roman" w:cs="Times New Roman"/>
          <w:sz w:val="24"/>
          <w:szCs w:val="24"/>
        </w:rPr>
        <w:t xml:space="preserve"> G., </w:t>
      </w:r>
      <w:r w:rsidRPr="002B7010">
        <w:rPr>
          <w:rFonts w:ascii="Times New Roman" w:hAnsi="Times New Roman" w:cs="Times New Roman"/>
          <w:sz w:val="24"/>
          <w:szCs w:val="24"/>
        </w:rPr>
        <w:t>POLENGHI</w:t>
      </w:r>
      <w:r w:rsidR="00331E5D">
        <w:rPr>
          <w:rFonts w:ascii="Times New Roman" w:hAnsi="Times New Roman" w:cs="Times New Roman"/>
          <w:sz w:val="24"/>
          <w:szCs w:val="24"/>
        </w:rPr>
        <w:t xml:space="preserve"> S.,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010">
        <w:rPr>
          <w:rFonts w:ascii="Times New Roman" w:hAnsi="Times New Roman" w:cs="Times New Roman"/>
          <w:sz w:val="24"/>
          <w:szCs w:val="24"/>
        </w:rPr>
        <w:t xml:space="preserve">ROSSINI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Pr="002B7010">
        <w:rPr>
          <w:rFonts w:ascii="Times New Roman" w:hAnsi="Times New Roman" w:cs="Times New Roman"/>
          <w:sz w:val="24"/>
          <w:szCs w:val="24"/>
        </w:rPr>
        <w:t xml:space="preserve">(Eds.), </w:t>
      </w:r>
      <w:r w:rsidRPr="002B7010">
        <w:rPr>
          <w:rFonts w:ascii="Times New Roman" w:hAnsi="Times New Roman" w:cs="Times New Roman"/>
          <w:i/>
          <w:sz w:val="24"/>
          <w:szCs w:val="24"/>
        </w:rPr>
        <w:t>La scuola tra</w:t>
      </w:r>
      <w:r>
        <w:rPr>
          <w:rFonts w:ascii="Times New Roman" w:hAnsi="Times New Roman" w:cs="Times New Roman"/>
          <w:i/>
          <w:sz w:val="24"/>
          <w:szCs w:val="24"/>
        </w:rPr>
        <w:t xml:space="preserve"> saperi e valori etico-sociali. </w:t>
      </w:r>
      <w:r w:rsidRPr="002B7010">
        <w:rPr>
          <w:rFonts w:ascii="Times New Roman" w:hAnsi="Times New Roman" w:cs="Times New Roman"/>
          <w:i/>
          <w:sz w:val="24"/>
          <w:szCs w:val="24"/>
        </w:rPr>
        <w:t>Politiche culturali e pratiche educative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3E27">
        <w:rPr>
          <w:rFonts w:ascii="Times New Roman" w:hAnsi="Times New Roman" w:cs="Times New Roman"/>
          <w:sz w:val="24"/>
          <w:szCs w:val="24"/>
        </w:rPr>
        <w:t xml:space="preserve"> Lecce:</w:t>
      </w:r>
      <w:r w:rsidRPr="002B7010">
        <w:rPr>
          <w:rFonts w:ascii="Times New Roman" w:hAnsi="Times New Roman" w:cs="Times New Roman"/>
          <w:sz w:val="24"/>
          <w:szCs w:val="24"/>
        </w:rPr>
        <w:t xml:space="preserve"> Pensa MultiMedia, </w:t>
      </w:r>
      <w:r>
        <w:rPr>
          <w:rFonts w:ascii="Times New Roman" w:hAnsi="Times New Roman" w:cs="Times New Roman"/>
          <w:sz w:val="24"/>
          <w:szCs w:val="24"/>
        </w:rPr>
        <w:t xml:space="preserve">pp. </w:t>
      </w:r>
      <w:r w:rsidRPr="002B7010">
        <w:rPr>
          <w:rFonts w:ascii="Times New Roman" w:hAnsi="Times New Roman" w:cs="Times New Roman"/>
          <w:sz w:val="24"/>
          <w:szCs w:val="24"/>
        </w:rPr>
        <w:t>219-228.</w:t>
      </w:r>
    </w:p>
    <w:p w14:paraId="3A868BA7" w14:textId="6006F922" w:rsidR="00587519" w:rsidRDefault="00587519" w:rsidP="0058751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69078A7" w14:textId="6B1DE3DC" w:rsidR="00587519" w:rsidRDefault="00587519" w:rsidP="0058751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87519">
        <w:rPr>
          <w:rFonts w:ascii="Times New Roman" w:hAnsi="Times New Roman" w:cs="Times New Roman"/>
          <w:sz w:val="24"/>
          <w:szCs w:val="24"/>
        </w:rPr>
        <w:t xml:space="preserve">MILANI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587519">
        <w:rPr>
          <w:rFonts w:ascii="Times New Roman" w:hAnsi="Times New Roman" w:cs="Times New Roman"/>
          <w:sz w:val="24"/>
          <w:szCs w:val="24"/>
        </w:rPr>
        <w:t>(Ed.)</w:t>
      </w:r>
      <w:r>
        <w:rPr>
          <w:rFonts w:ascii="Times New Roman" w:hAnsi="Times New Roman" w:cs="Times New Roman"/>
          <w:sz w:val="24"/>
          <w:szCs w:val="24"/>
        </w:rPr>
        <w:t xml:space="preserve"> (2019</w:t>
      </w:r>
      <w:r w:rsidR="00D75F8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87519">
        <w:rPr>
          <w:rFonts w:ascii="Times New Roman" w:hAnsi="Times New Roman" w:cs="Times New Roman"/>
          <w:sz w:val="24"/>
          <w:szCs w:val="24"/>
        </w:rPr>
        <w:t xml:space="preserve">, </w:t>
      </w:r>
      <w:r w:rsidRPr="00587519">
        <w:rPr>
          <w:rFonts w:ascii="Times New Roman" w:hAnsi="Times New Roman" w:cs="Times New Roman"/>
          <w:i/>
          <w:sz w:val="24"/>
          <w:szCs w:val="24"/>
        </w:rPr>
        <w:t>Trame di costruzione della cittadinanza. Riflessioni a 30 anni dalla Convenzione Onu sui diritti dell’infanzia e dell’adolescenza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7519">
        <w:rPr>
          <w:rFonts w:ascii="Times New Roman" w:hAnsi="Times New Roman" w:cs="Times New Roman"/>
          <w:sz w:val="24"/>
          <w:szCs w:val="24"/>
        </w:rPr>
        <w:t xml:space="preserve"> Bari: Progedit.</w:t>
      </w:r>
    </w:p>
    <w:p w14:paraId="4A2D3863" w14:textId="4A86048B" w:rsidR="0074171F" w:rsidRDefault="0074171F" w:rsidP="002B701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2691A8C" w14:textId="2C163DE7" w:rsidR="0074171F" w:rsidRPr="002B7010" w:rsidRDefault="00331E5D" w:rsidP="002B701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MILANI L., BOERIS C.,</w:t>
      </w:r>
      <w:r w:rsidR="0074171F">
        <w:rPr>
          <w:rFonts w:ascii="Times New Roman" w:hAnsi="Times New Roman" w:cs="Times New Roman"/>
          <w:sz w:val="24"/>
          <w:szCs w:val="24"/>
        </w:rPr>
        <w:t xml:space="preserve"> GUARCELLO E. (2021). </w:t>
      </w:r>
      <w:r w:rsidR="0074171F" w:rsidRPr="00FB44D3">
        <w:rPr>
          <w:rFonts w:ascii="Times New Roman" w:hAnsi="Times New Roman" w:cs="Times New Roman"/>
          <w:i/>
          <w:sz w:val="24"/>
          <w:szCs w:val="24"/>
        </w:rPr>
        <w:t>Come una stella polare. Deontologia per insegnati, educatori e pedagogisti affidabili</w:t>
      </w:r>
      <w:r w:rsidR="0074171F">
        <w:rPr>
          <w:rFonts w:ascii="Times New Roman" w:hAnsi="Times New Roman" w:cs="Times New Roman"/>
          <w:sz w:val="24"/>
          <w:szCs w:val="24"/>
        </w:rPr>
        <w:t>, Bari: Progedit.</w:t>
      </w:r>
    </w:p>
    <w:p w14:paraId="22C5794E" w14:textId="77777777" w:rsidR="00261F35" w:rsidRDefault="00261F35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274A677" w14:textId="20A05F52" w:rsidR="00FB44D3" w:rsidRDefault="00261F35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MILANI L. (2021), Le frontiere della deontologia in prospettiva sociale. </w:t>
      </w:r>
      <w:r w:rsidR="00FB44D3">
        <w:rPr>
          <w:rFonts w:ascii="Times New Roman" w:hAnsi="Times New Roman" w:cs="Times New Roman"/>
          <w:sz w:val="24"/>
          <w:szCs w:val="24"/>
        </w:rPr>
        <w:t>Professionalità, contesti multiculturali e giustizia educativ</w:t>
      </w:r>
      <w:r w:rsidR="00EA14C6">
        <w:rPr>
          <w:rFonts w:ascii="Times New Roman" w:hAnsi="Times New Roman" w:cs="Times New Roman"/>
          <w:sz w:val="24"/>
          <w:szCs w:val="24"/>
        </w:rPr>
        <w:t>a. I</w:t>
      </w:r>
      <w:r w:rsidR="00FB44D3">
        <w:rPr>
          <w:rFonts w:ascii="Times New Roman" w:hAnsi="Times New Roman" w:cs="Times New Roman"/>
          <w:sz w:val="24"/>
          <w:szCs w:val="24"/>
        </w:rPr>
        <w:t>n</w:t>
      </w:r>
      <w:r w:rsidR="00EA14C6">
        <w:rPr>
          <w:rFonts w:ascii="Times New Roman" w:hAnsi="Times New Roman" w:cs="Times New Roman"/>
          <w:sz w:val="24"/>
          <w:szCs w:val="24"/>
        </w:rPr>
        <w:t>:</w:t>
      </w:r>
      <w:r w:rsidR="005D02E0">
        <w:rPr>
          <w:rFonts w:ascii="Times New Roman" w:hAnsi="Times New Roman" w:cs="Times New Roman"/>
          <w:sz w:val="24"/>
          <w:szCs w:val="24"/>
        </w:rPr>
        <w:t xml:space="preserve"> MILANI L., BOERIS C.,</w:t>
      </w:r>
      <w:r>
        <w:rPr>
          <w:rFonts w:ascii="Times New Roman" w:hAnsi="Times New Roman" w:cs="Times New Roman"/>
          <w:sz w:val="24"/>
          <w:szCs w:val="24"/>
        </w:rPr>
        <w:t xml:space="preserve"> GUARCELLO E. (2021). </w:t>
      </w:r>
      <w:r w:rsidRPr="00FB44D3">
        <w:rPr>
          <w:rFonts w:ascii="Times New Roman" w:hAnsi="Times New Roman" w:cs="Times New Roman"/>
          <w:i/>
          <w:sz w:val="24"/>
          <w:szCs w:val="24"/>
        </w:rPr>
        <w:t>Come una stella polare. Deontologia per insegnati, educatori e pedagogisti affidabili</w:t>
      </w:r>
      <w:r>
        <w:rPr>
          <w:rFonts w:ascii="Times New Roman" w:hAnsi="Times New Roman" w:cs="Times New Roman"/>
          <w:sz w:val="24"/>
          <w:szCs w:val="24"/>
        </w:rPr>
        <w:t>, Bari: Progedi</w:t>
      </w:r>
      <w:r w:rsidR="00FB44D3">
        <w:rPr>
          <w:rFonts w:ascii="Times New Roman" w:hAnsi="Times New Roman" w:cs="Times New Roman"/>
          <w:sz w:val="24"/>
          <w:szCs w:val="24"/>
        </w:rPr>
        <w:t>t, pp. 9-29.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C8291" w14:textId="4AFA86A9" w:rsidR="00F53D31" w:rsidRDefault="00F53D31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80CD013" w14:textId="0B722736" w:rsidR="00F53D31" w:rsidRPr="00F53D31" w:rsidRDefault="00093325" w:rsidP="00F53D3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53D31">
        <w:rPr>
          <w:rFonts w:ascii="Times New Roman" w:hAnsi="Times New Roman" w:cs="Times New Roman"/>
          <w:sz w:val="24"/>
          <w:szCs w:val="24"/>
        </w:rPr>
        <w:t>MILLER</w:t>
      </w:r>
      <w:r w:rsidR="00F53D31" w:rsidRPr="00F53D31">
        <w:rPr>
          <w:rFonts w:ascii="Times New Roman" w:hAnsi="Times New Roman" w:cs="Times New Roman"/>
          <w:sz w:val="24"/>
          <w:szCs w:val="24"/>
        </w:rPr>
        <w:t xml:space="preserve">, A. (1987). </w:t>
      </w:r>
      <w:r w:rsidR="00F53D31" w:rsidRPr="00F53D31">
        <w:rPr>
          <w:rFonts w:ascii="Times New Roman" w:hAnsi="Times New Roman" w:cs="Times New Roman"/>
          <w:i/>
          <w:sz w:val="24"/>
          <w:szCs w:val="24"/>
        </w:rPr>
        <w:t>La persecuzione del bambino. Le radici della violenza</w:t>
      </w:r>
      <w:r w:rsidR="00F53D31">
        <w:rPr>
          <w:rFonts w:ascii="Times New Roman" w:hAnsi="Times New Roman" w:cs="Times New Roman"/>
          <w:sz w:val="24"/>
          <w:szCs w:val="24"/>
        </w:rPr>
        <w:t xml:space="preserve">, Torino: Bollati </w:t>
      </w:r>
      <w:r w:rsidR="00F53D31" w:rsidRPr="00093325">
        <w:rPr>
          <w:rFonts w:ascii="Times New Roman" w:hAnsi="Times New Roman" w:cs="Times New Roman"/>
          <w:sz w:val="24"/>
          <w:szCs w:val="24"/>
        </w:rPr>
        <w:t>Boringhieri.</w:t>
      </w:r>
    </w:p>
    <w:p w14:paraId="091CC11F" w14:textId="77777777" w:rsidR="009C5C82" w:rsidRPr="00093325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D1F37BD" w14:textId="77777777" w:rsidR="009C5C82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MORIN, E. (2005). </w:t>
      </w:r>
      <w:r w:rsidRPr="009C5C82">
        <w:rPr>
          <w:rFonts w:ascii="Times New Roman" w:hAnsi="Times New Roman" w:cs="Times New Roman"/>
          <w:i/>
          <w:sz w:val="24"/>
          <w:szCs w:val="24"/>
        </w:rPr>
        <w:t>Il metodo 6. Etica</w:t>
      </w:r>
      <w:r>
        <w:rPr>
          <w:rFonts w:ascii="Times New Roman" w:hAnsi="Times New Roman" w:cs="Times New Roman"/>
          <w:sz w:val="24"/>
          <w:szCs w:val="24"/>
        </w:rPr>
        <w:t>, Milano: Raffaello Cortina Editore:</w:t>
      </w:r>
    </w:p>
    <w:p w14:paraId="6B62A66D" w14:textId="77777777" w:rsidR="009C5C82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F336F26" w14:textId="51AD45CC" w:rsidR="009C5C82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MORIN, E. (2018), </w:t>
      </w:r>
      <w:r w:rsidRPr="009C5C82">
        <w:rPr>
          <w:rFonts w:ascii="Times New Roman" w:hAnsi="Times New Roman" w:cs="Times New Roman"/>
          <w:i/>
          <w:sz w:val="24"/>
          <w:szCs w:val="24"/>
        </w:rPr>
        <w:t>Conoscenza Ignoranza Mistero</w:t>
      </w:r>
      <w:r>
        <w:rPr>
          <w:rFonts w:ascii="Times New Roman" w:hAnsi="Times New Roman" w:cs="Times New Roman"/>
          <w:sz w:val="24"/>
          <w:szCs w:val="24"/>
        </w:rPr>
        <w:t>, Milano: Raffaello Cortina Editore.</w:t>
      </w:r>
    </w:p>
    <w:p w14:paraId="7F5B9479" w14:textId="195D34D1" w:rsidR="00A27C42" w:rsidRDefault="00A27C4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A0B475C" w14:textId="60404245" w:rsidR="00A27C42" w:rsidRPr="00A27C42" w:rsidRDefault="00874C04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MUSCARÀ, M.,</w:t>
      </w:r>
      <w:r w:rsidR="00A27C42" w:rsidRPr="00A27C42">
        <w:rPr>
          <w:rFonts w:ascii="Times New Roman" w:hAnsi="Times New Roman" w:cs="Times New Roman"/>
          <w:sz w:val="24"/>
          <w:szCs w:val="24"/>
        </w:rPr>
        <w:t xml:space="preserve"> ROMANO, A. (2020). Punire, castigare, obbedire. Una lettura</w:t>
      </w:r>
    </w:p>
    <w:p w14:paraId="27BFF8B0" w14:textId="2079F210" w:rsidR="00A27C42" w:rsidRDefault="00A27C42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A27C42">
        <w:rPr>
          <w:rFonts w:ascii="Times New Roman" w:hAnsi="Times New Roman" w:cs="Times New Roman"/>
          <w:sz w:val="24"/>
          <w:szCs w:val="24"/>
        </w:rPr>
        <w:t xml:space="preserve">antropologica delle pratiche educative violente. </w:t>
      </w:r>
      <w:r w:rsidRPr="00A27C42">
        <w:rPr>
          <w:rFonts w:ascii="Times New Roman" w:hAnsi="Times New Roman" w:cs="Times New Roman"/>
          <w:i/>
          <w:sz w:val="24"/>
          <w:szCs w:val="24"/>
        </w:rPr>
        <w:t>Rivista Italiana di Educazione Familiare</w:t>
      </w:r>
      <w:r w:rsidRPr="00A27C42">
        <w:rPr>
          <w:rFonts w:ascii="Times New Roman" w:hAnsi="Times New Roman" w:cs="Times New Roman"/>
          <w:sz w:val="24"/>
          <w:szCs w:val="24"/>
        </w:rPr>
        <w:t>, 16(1), 59-75.</w:t>
      </w:r>
    </w:p>
    <w:p w14:paraId="01481EB7" w14:textId="736639C9" w:rsidR="00DF1944" w:rsidRDefault="00DF1944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3C3CCBB" w14:textId="6DC04534" w:rsidR="00DF1944" w:rsidRDefault="00DF1944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ONU (1989), </w:t>
      </w:r>
      <w:r w:rsidRPr="00DF1944">
        <w:rPr>
          <w:rFonts w:ascii="Times New Roman" w:hAnsi="Times New Roman" w:cs="Times New Roman"/>
          <w:i/>
          <w:sz w:val="24"/>
          <w:szCs w:val="24"/>
        </w:rPr>
        <w:t>Convenzione sui diritti dell’infanzia e dell’adolescenza</w:t>
      </w:r>
      <w:r>
        <w:rPr>
          <w:rFonts w:ascii="Times New Roman" w:hAnsi="Times New Roman" w:cs="Times New Roman"/>
          <w:sz w:val="24"/>
          <w:szCs w:val="24"/>
        </w:rPr>
        <w:t>, New York: ONU.</w:t>
      </w:r>
    </w:p>
    <w:p w14:paraId="656D83EE" w14:textId="06046F11" w:rsidR="00206F9F" w:rsidRDefault="00206F9F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325932C" w14:textId="01C1734B" w:rsidR="00206F9F" w:rsidRDefault="00206F9F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PELLEREY, M. (1999), </w:t>
      </w:r>
      <w:r w:rsidRPr="00206F9F">
        <w:rPr>
          <w:rFonts w:ascii="Times New Roman" w:hAnsi="Times New Roman" w:cs="Times New Roman"/>
          <w:i/>
          <w:sz w:val="24"/>
          <w:szCs w:val="24"/>
        </w:rPr>
        <w:t>Educare. Manuale di pedagogia come scienza pratico-progettuale</w:t>
      </w:r>
      <w:r>
        <w:rPr>
          <w:rFonts w:ascii="Times New Roman" w:hAnsi="Times New Roman" w:cs="Times New Roman"/>
          <w:sz w:val="24"/>
          <w:szCs w:val="24"/>
        </w:rPr>
        <w:t>, Roma: LAS.</w:t>
      </w:r>
    </w:p>
    <w:p w14:paraId="2BD23B31" w14:textId="03AB84C5" w:rsidR="00C47B09" w:rsidRDefault="00C47B09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611209A" w14:textId="7632D36E" w:rsidR="00C47B09" w:rsidRDefault="00206F9F" w:rsidP="00A27C4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PERLINO</w:t>
      </w:r>
      <w:r w:rsidR="00C47B09">
        <w:rPr>
          <w:rFonts w:ascii="Times New Roman" w:hAnsi="Times New Roman" w:cs="Times New Roman"/>
          <w:sz w:val="24"/>
          <w:szCs w:val="24"/>
        </w:rPr>
        <w:t xml:space="preserve">, A. (2013), </w:t>
      </w:r>
      <w:r w:rsidR="00C47B09" w:rsidRPr="00C47B09">
        <w:rPr>
          <w:rFonts w:ascii="Times New Roman" w:hAnsi="Times New Roman" w:cs="Times New Roman"/>
          <w:i/>
          <w:sz w:val="24"/>
          <w:szCs w:val="24"/>
        </w:rPr>
        <w:t>Competenza e deontologia degli educatori professionali. La ricerca di una soluzione sostenibile</w:t>
      </w:r>
      <w:r w:rsidR="00C47B09">
        <w:rPr>
          <w:rFonts w:ascii="Times New Roman" w:hAnsi="Times New Roman" w:cs="Times New Roman"/>
          <w:sz w:val="24"/>
          <w:szCs w:val="24"/>
        </w:rPr>
        <w:t>, Lecce: Pensa Multimedia.</w:t>
      </w:r>
    </w:p>
    <w:p w14:paraId="1DCE6EFC" w14:textId="5BF43D5B" w:rsidR="00E209E5" w:rsidRDefault="00E209E5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3E2C1B2" w14:textId="72EB5992" w:rsidR="00E209E5" w:rsidRDefault="00E209E5" w:rsidP="00E209E5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E209E5">
        <w:rPr>
          <w:rFonts w:ascii="Times New Roman" w:hAnsi="Times New Roman" w:cs="Times New Roman"/>
          <w:sz w:val="24"/>
          <w:szCs w:val="24"/>
        </w:rPr>
        <w:t>PERTICARI</w:t>
      </w:r>
      <w:r>
        <w:rPr>
          <w:rFonts w:ascii="Times New Roman" w:hAnsi="Times New Roman" w:cs="Times New Roman"/>
          <w:sz w:val="24"/>
          <w:szCs w:val="24"/>
        </w:rPr>
        <w:t>, P. (Ed.). (2015),</w:t>
      </w:r>
      <w:r w:rsidRPr="00E209E5">
        <w:rPr>
          <w:rFonts w:ascii="Times New Roman" w:hAnsi="Times New Roman" w:cs="Times New Roman"/>
          <w:sz w:val="24"/>
          <w:szCs w:val="24"/>
        </w:rPr>
        <w:t xml:space="preserve"> </w:t>
      </w:r>
      <w:r w:rsidRPr="00E209E5">
        <w:rPr>
          <w:rFonts w:ascii="Times New Roman" w:hAnsi="Times New Roman" w:cs="Times New Roman"/>
          <w:i/>
          <w:sz w:val="24"/>
          <w:szCs w:val="24"/>
        </w:rPr>
        <w:t>Katharina Rutschky. Pedagogia nera. Fonti storiche nell’educazione civile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9E5">
        <w:rPr>
          <w:rFonts w:ascii="Times New Roman" w:hAnsi="Times New Roman" w:cs="Times New Roman"/>
          <w:sz w:val="24"/>
          <w:szCs w:val="24"/>
        </w:rPr>
        <w:t xml:space="preserve"> Milano-Udine: Mimesis.</w:t>
      </w:r>
    </w:p>
    <w:p w14:paraId="5DEA74F7" w14:textId="6F2B3866" w:rsidR="009C5C82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81F9138" w14:textId="49C0C6CD" w:rsidR="009C5C82" w:rsidRDefault="009C5C8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9C5C82">
        <w:rPr>
          <w:rFonts w:ascii="Times New Roman" w:hAnsi="Times New Roman" w:cs="Times New Roman"/>
          <w:sz w:val="24"/>
          <w:szCs w:val="24"/>
        </w:rPr>
        <w:t xml:space="preserve">RUTSCHKY, K. (1977). </w:t>
      </w:r>
      <w:r w:rsidRPr="009C5C82">
        <w:rPr>
          <w:rFonts w:ascii="Times New Roman" w:hAnsi="Times New Roman" w:cs="Times New Roman"/>
          <w:i/>
          <w:sz w:val="24"/>
          <w:szCs w:val="24"/>
        </w:rPr>
        <w:t>Schwarze Pädagogik</w:t>
      </w:r>
      <w:r w:rsidR="00A27C42">
        <w:rPr>
          <w:rFonts w:ascii="Times New Roman" w:hAnsi="Times New Roman" w:cs="Times New Roman"/>
          <w:sz w:val="24"/>
          <w:szCs w:val="24"/>
        </w:rPr>
        <w:t>,</w:t>
      </w:r>
      <w:r w:rsidRPr="009C5C82">
        <w:rPr>
          <w:rFonts w:ascii="Times New Roman" w:hAnsi="Times New Roman" w:cs="Times New Roman"/>
          <w:sz w:val="24"/>
          <w:szCs w:val="24"/>
        </w:rPr>
        <w:t xml:space="preserve"> Frankfurt-Wien-Berlin: Ullstein Verlag.</w:t>
      </w:r>
    </w:p>
    <w:p w14:paraId="03978543" w14:textId="2395BEE5" w:rsidR="00625715" w:rsidRDefault="00625715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F3387CC" w14:textId="535FFC80" w:rsidR="00EC79BB" w:rsidRPr="00625715" w:rsidRDefault="00625715" w:rsidP="007F42B5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625715">
        <w:rPr>
          <w:rFonts w:ascii="Times New Roman" w:hAnsi="Times New Roman" w:cs="Times New Roman"/>
          <w:sz w:val="24"/>
          <w:szCs w:val="24"/>
        </w:rPr>
        <w:lastRenderedPageBreak/>
        <w:t>XODO, C. (2000). Etica ed etica d</w:t>
      </w:r>
      <w:r w:rsidR="00DA4C20">
        <w:rPr>
          <w:rFonts w:ascii="Times New Roman" w:hAnsi="Times New Roman" w:cs="Times New Roman"/>
          <w:sz w:val="24"/>
          <w:szCs w:val="24"/>
        </w:rPr>
        <w:t xml:space="preserve">ella professione docente. In: </w:t>
      </w:r>
      <w:r w:rsidR="00D74199" w:rsidRPr="00625715">
        <w:rPr>
          <w:rFonts w:ascii="Times New Roman" w:hAnsi="Times New Roman" w:cs="Times New Roman"/>
          <w:sz w:val="24"/>
          <w:szCs w:val="24"/>
        </w:rPr>
        <w:t>CENERINI</w:t>
      </w:r>
      <w:r w:rsidR="00D7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 w:rsidR="007F42B5">
        <w:rPr>
          <w:rFonts w:ascii="Times New Roman" w:hAnsi="Times New Roman" w:cs="Times New Roman"/>
          <w:sz w:val="24"/>
          <w:szCs w:val="24"/>
        </w:rPr>
        <w:t xml:space="preserve">, </w:t>
      </w:r>
      <w:r w:rsidR="00D74199" w:rsidRPr="00625715">
        <w:rPr>
          <w:rFonts w:ascii="Times New Roman" w:hAnsi="Times New Roman" w:cs="Times New Roman"/>
          <w:sz w:val="24"/>
          <w:szCs w:val="24"/>
        </w:rPr>
        <w:t xml:space="preserve">DRAGO </w:t>
      </w:r>
      <w:r w:rsidR="00DA4C20">
        <w:rPr>
          <w:rFonts w:ascii="Times New Roman" w:hAnsi="Times New Roman" w:cs="Times New Roman"/>
          <w:sz w:val="24"/>
          <w:szCs w:val="24"/>
        </w:rPr>
        <w:t xml:space="preserve">R. </w:t>
      </w:r>
      <w:r w:rsidRPr="00625715">
        <w:rPr>
          <w:rFonts w:ascii="Times New Roman" w:hAnsi="Times New Roman" w:cs="Times New Roman"/>
          <w:sz w:val="24"/>
          <w:szCs w:val="24"/>
        </w:rPr>
        <w:t xml:space="preserve">(Eds.), </w:t>
      </w:r>
      <w:r w:rsidRPr="00DA4C20">
        <w:rPr>
          <w:rFonts w:ascii="Times New Roman" w:hAnsi="Times New Roman" w:cs="Times New Roman"/>
          <w:i/>
          <w:sz w:val="24"/>
          <w:szCs w:val="24"/>
        </w:rPr>
        <w:t>Professionalità e codice deontologico degli insegnanti</w:t>
      </w:r>
      <w:r w:rsidR="00DA4C20">
        <w:rPr>
          <w:rFonts w:ascii="Times New Roman" w:hAnsi="Times New Roman" w:cs="Times New Roman"/>
          <w:sz w:val="24"/>
          <w:szCs w:val="24"/>
        </w:rPr>
        <w:t xml:space="preserve">, </w:t>
      </w:r>
      <w:r w:rsidR="00EC79BB">
        <w:rPr>
          <w:rFonts w:ascii="Times New Roman" w:hAnsi="Times New Roman" w:cs="Times New Roman"/>
          <w:sz w:val="24"/>
          <w:szCs w:val="24"/>
        </w:rPr>
        <w:t>Trento: Erickson,</w:t>
      </w:r>
      <w:r w:rsidR="00EC79BB" w:rsidRPr="00EC79BB">
        <w:rPr>
          <w:rFonts w:ascii="Times New Roman" w:hAnsi="Times New Roman" w:cs="Times New Roman"/>
          <w:sz w:val="24"/>
          <w:szCs w:val="24"/>
        </w:rPr>
        <w:t xml:space="preserve"> </w:t>
      </w:r>
      <w:r w:rsidR="00EC79BB">
        <w:rPr>
          <w:rFonts w:ascii="Times New Roman" w:hAnsi="Times New Roman" w:cs="Times New Roman"/>
          <w:sz w:val="24"/>
          <w:szCs w:val="24"/>
        </w:rPr>
        <w:t>pp. 87-106</w:t>
      </w:r>
      <w:r w:rsidR="00EC79BB" w:rsidRPr="00625715">
        <w:rPr>
          <w:rFonts w:ascii="Times New Roman" w:hAnsi="Times New Roman" w:cs="Times New Roman"/>
          <w:sz w:val="24"/>
          <w:szCs w:val="24"/>
        </w:rPr>
        <w:t>.</w:t>
      </w:r>
    </w:p>
    <w:p w14:paraId="42C91A41" w14:textId="29EA0FA5" w:rsidR="00625715" w:rsidRDefault="00625715" w:rsidP="00625715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5FDA2CA5" w14:textId="77777777" w:rsidR="00A27C42" w:rsidRDefault="00A27C42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85807D3" w14:textId="028342B6" w:rsidR="00694BE9" w:rsidRPr="00281526" w:rsidRDefault="00694BE9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94BE9" w:rsidRPr="00281526" w:rsidSect="00565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2268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9E485" w14:textId="77777777" w:rsidR="0035544B" w:rsidRDefault="0035544B" w:rsidP="00C81BA5">
      <w:pPr>
        <w:spacing w:after="0" w:line="240" w:lineRule="auto"/>
      </w:pPr>
      <w:r>
        <w:separator/>
      </w:r>
    </w:p>
  </w:endnote>
  <w:endnote w:type="continuationSeparator" w:id="0">
    <w:p w14:paraId="01BCA29A" w14:textId="77777777" w:rsidR="0035544B" w:rsidRDefault="0035544B" w:rsidP="00C8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024506"/>
      <w:docPartObj>
        <w:docPartGallery w:val="Page Numbers (Bottom of Page)"/>
        <w:docPartUnique/>
      </w:docPartObj>
    </w:sdtPr>
    <w:sdtEndPr>
      <w:rPr>
        <w:b/>
      </w:rPr>
    </w:sdtEndPr>
    <w:sdtContent>
      <w:p w14:paraId="3CD8677C" w14:textId="4A83724A" w:rsidR="00625715" w:rsidRDefault="00625715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241CB1EB" wp14:editId="00795A22">
                  <wp:extent cx="5933440" cy="54610"/>
                  <wp:effectExtent l="0" t="9525" r="635" b="2540"/>
                  <wp:docPr id="4" name="AutoShap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F75528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4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" fillcolor="#31849b [2408]" stroked="f" strokecolor="black [3213]">
                  <w10:anchorlock/>
                </v:shape>
              </w:pict>
            </mc:Fallback>
          </mc:AlternateContent>
        </w:r>
      </w:p>
      <w:p w14:paraId="5506E559" w14:textId="73B31DC2" w:rsidR="00625715" w:rsidRPr="00D37474" w:rsidRDefault="00625715">
        <w:pPr>
          <w:pStyle w:val="Pidipagina"/>
          <w:jc w:val="center"/>
          <w:rPr>
            <w:b/>
          </w:rPr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0D076A">
          <w:rPr>
            <w:rFonts w:ascii="Garamond" w:hAnsi="Garamond"/>
            <w:b/>
            <w:noProof/>
            <w:color w:val="FF0000"/>
            <w:sz w:val="28"/>
          </w:rPr>
          <w:t>6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0499775B" w14:textId="77777777" w:rsidR="00625715" w:rsidRDefault="00625715">
    <w:pPr>
      <w:pStyle w:val="Pidipagina"/>
    </w:pPr>
  </w:p>
  <w:p w14:paraId="0E848061" w14:textId="77777777" w:rsidR="00625715" w:rsidRDefault="0062571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024288"/>
      <w:docPartObj>
        <w:docPartGallery w:val="Page Numbers (Bottom of Page)"/>
        <w:docPartUnique/>
      </w:docPartObj>
    </w:sdtPr>
    <w:sdtEndPr/>
    <w:sdtContent>
      <w:p w14:paraId="38973D7B" w14:textId="538EB178" w:rsidR="00625715" w:rsidRDefault="00625715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3495E2B0" wp14:editId="37124931">
                  <wp:extent cx="5933440" cy="54610"/>
                  <wp:effectExtent l="0" t="9525" r="635" b="2540"/>
                  <wp:docPr id="3" name="AutoShap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4CD7E1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3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" fillcolor="#31849b [2408]" stroked="f" strokecolor="black [3213]">
                  <w10:anchorlock/>
                </v:shape>
              </w:pict>
            </mc:Fallback>
          </mc:AlternateContent>
        </w:r>
      </w:p>
      <w:p w14:paraId="1D1E5CD8" w14:textId="6D46297A" w:rsidR="00625715" w:rsidRDefault="00625715">
        <w:pPr>
          <w:pStyle w:val="Pidipagina"/>
          <w:jc w:val="center"/>
        </w:pPr>
        <w:r w:rsidRPr="00C81BA5">
          <w:rPr>
            <w:rFonts w:ascii="Garamond" w:hAnsi="Garamond"/>
            <w:b/>
            <w:color w:val="FF0000"/>
            <w:sz w:val="28"/>
          </w:rPr>
          <w:fldChar w:fldCharType="begin"/>
        </w:r>
        <w:r w:rsidRPr="00C81BA5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C81BA5">
          <w:rPr>
            <w:rFonts w:ascii="Garamond" w:hAnsi="Garamond"/>
            <w:b/>
            <w:color w:val="FF0000"/>
            <w:sz w:val="28"/>
          </w:rPr>
          <w:fldChar w:fldCharType="separate"/>
        </w:r>
        <w:r w:rsidR="000D076A">
          <w:rPr>
            <w:rFonts w:ascii="Garamond" w:hAnsi="Garamond"/>
            <w:b/>
            <w:noProof/>
            <w:color w:val="FF0000"/>
            <w:sz w:val="28"/>
          </w:rPr>
          <w:t>7</w:t>
        </w:r>
        <w:r w:rsidRPr="00C81BA5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30DC970C" w14:textId="77777777" w:rsidR="00625715" w:rsidRDefault="00625715">
    <w:pPr>
      <w:pStyle w:val="Pidipagina"/>
    </w:pPr>
  </w:p>
  <w:p w14:paraId="199B7344" w14:textId="77777777" w:rsidR="00625715" w:rsidRDefault="006257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025888"/>
      <w:docPartObj>
        <w:docPartGallery w:val="Page Numbers (Bottom of Page)"/>
        <w:docPartUnique/>
      </w:docPartObj>
    </w:sdtPr>
    <w:sdtEndPr/>
    <w:sdtContent>
      <w:p w14:paraId="504AB392" w14:textId="45280635" w:rsidR="00625715" w:rsidRDefault="00625715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678CC195" wp14:editId="51B26DB8">
                  <wp:extent cx="5933440" cy="54610"/>
                  <wp:effectExtent l="0" t="9525" r="635" b="2540"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C7D75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" fillcolor="#31849b [2408]" stroked="f" strokecolor="black [3213]">
                  <w10:anchorlock/>
                </v:shape>
              </w:pict>
            </mc:Fallback>
          </mc:AlternateContent>
        </w:r>
      </w:p>
      <w:p w14:paraId="5CD7D283" w14:textId="1FEFB797" w:rsidR="00625715" w:rsidRDefault="00625715">
        <w:pPr>
          <w:pStyle w:val="Pidipagina"/>
          <w:jc w:val="center"/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0D076A">
          <w:rPr>
            <w:rFonts w:ascii="Garamond" w:hAnsi="Garamond"/>
            <w:b/>
            <w:noProof/>
            <w:color w:val="FF0000"/>
            <w:sz w:val="28"/>
          </w:rPr>
          <w:t>1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5EB3C9B3" w14:textId="77777777" w:rsidR="00625715" w:rsidRDefault="00625715">
    <w:pPr>
      <w:pStyle w:val="Pidipagina"/>
    </w:pPr>
  </w:p>
  <w:p w14:paraId="324DB743" w14:textId="77777777" w:rsidR="00625715" w:rsidRDefault="006257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1A6F" w14:textId="77777777" w:rsidR="0035544B" w:rsidRDefault="0035544B" w:rsidP="00C81BA5">
      <w:pPr>
        <w:spacing w:after="0" w:line="240" w:lineRule="auto"/>
      </w:pPr>
      <w:r>
        <w:separator/>
      </w:r>
    </w:p>
  </w:footnote>
  <w:footnote w:type="continuationSeparator" w:id="0">
    <w:p w14:paraId="69CA9906" w14:textId="77777777" w:rsidR="0035544B" w:rsidRDefault="0035544B" w:rsidP="00C8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024287"/>
      <w:docPartObj>
        <w:docPartGallery w:val="Page Numbers (Top of Page)"/>
        <w:docPartUnique/>
      </w:docPartObj>
    </w:sdtPr>
    <w:sdtEndPr/>
    <w:sdtContent>
      <w:p w14:paraId="72FC9722" w14:textId="7983EEE9" w:rsidR="00625715" w:rsidRDefault="00625715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17B388" wp14:editId="6849FD36">
                  <wp:simplePos x="0" y="0"/>
                  <wp:positionH relativeFrom="column">
                    <wp:posOffset>-1007110</wp:posOffset>
                  </wp:positionH>
                  <wp:positionV relativeFrom="paragraph">
                    <wp:posOffset>626110</wp:posOffset>
                  </wp:positionV>
                  <wp:extent cx="499745" cy="8525510"/>
                  <wp:effectExtent l="95250" t="95250" r="0" b="8890"/>
                  <wp:wrapTight wrapText="bothSides">
                    <wp:wrapPolygon edited="0">
                      <wp:start x="-4117" y="-241"/>
                      <wp:lineTo x="-4117" y="21429"/>
                      <wp:lineTo x="-2470" y="21623"/>
                      <wp:lineTo x="21408" y="21623"/>
                      <wp:lineTo x="21408" y="531"/>
                      <wp:lineTo x="19761" y="-193"/>
                      <wp:lineTo x="19761" y="-241"/>
                      <wp:lineTo x="-4117" y="-241"/>
                    </wp:wrapPolygon>
                  </wp:wrapTight>
                  <wp:docPr id="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9745" cy="8525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FF00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DEB60C6" w14:textId="37E4AFDD" w:rsidR="00625715" w:rsidRPr="00694BE9" w:rsidRDefault="00625715" w:rsidP="00694B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mallCap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mallCaps/>
                                  <w:color w:val="FFFFFF" w:themeColor="background1"/>
                                  <w:sz w:val="26"/>
                                  <w:szCs w:val="26"/>
                                </w:rPr>
                                <w:t>Deontologia e formazione degli insegnati: il legame debole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17B388" id="Rectangle 5" o:spid="_x0000_s1026" style="position:absolute;margin-left:-79.3pt;margin-top:49.3pt;width:39.35pt;height:67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" fillcolor="#31849b [2408]" strokecolor="white [3212]" strokeweight="3pt">
                  <v:shadow on="t" color="red" opacity=".5" offset="-6pt,-6pt"/>
                  <v:textbox style="layout-flow:vertical;mso-layout-flow-alt:bottom-to-top">
                    <w:txbxContent>
                      <w:p w14:paraId="1DEB60C6" w14:textId="37E4AFDD" w:rsidR="00625715" w:rsidRPr="00694BE9" w:rsidRDefault="00625715" w:rsidP="00694B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smallCaps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mallCaps/>
                            <w:color w:val="FFFFFF" w:themeColor="background1"/>
                            <w:sz w:val="26"/>
                            <w:szCs w:val="26"/>
                          </w:rPr>
                          <w:t>Deontologia e formazione degli insegnati: il legame debole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55FD" w14:textId="2EAED1B4" w:rsidR="00625715" w:rsidRDefault="0062571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F6982" wp14:editId="4D220F39">
              <wp:simplePos x="0" y="0"/>
              <wp:positionH relativeFrom="column">
                <wp:posOffset>5905500</wp:posOffset>
              </wp:positionH>
              <wp:positionV relativeFrom="paragraph">
                <wp:posOffset>629920</wp:posOffset>
              </wp:positionV>
              <wp:extent cx="499745" cy="8525510"/>
              <wp:effectExtent l="19050" t="95250" r="71755" b="889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745" cy="852551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FF000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48410F9" w14:textId="67EC5C87" w:rsidR="00452987" w:rsidRDefault="00452987" w:rsidP="00D37474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780C613B" w14:textId="77777777" w:rsidR="00452987" w:rsidRDefault="00452987" w:rsidP="00D37474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</w:p>
                        <w:p w14:paraId="2AFDDFC7" w14:textId="0F3ED209" w:rsidR="00625715" w:rsidRPr="00BC73D6" w:rsidRDefault="00625715" w:rsidP="00D37474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F6982" id="Rectangle 6" o:spid="_x0000_s1027" style="position:absolute;margin-left:465pt;margin-top:49.6pt;width:39.35pt;height:6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" fillcolor="#31849b [2408]" strokecolor="white [3212]" strokeweight="3pt">
              <v:shadow on="t" color="red" opacity=".5" offset="6pt,-6pt"/>
              <v:textbox style="layout-flow:vertical;mso-layout-flow-alt:bottom-to-top">
                <w:txbxContent>
                  <w:p w14:paraId="748410F9" w14:textId="67EC5C87" w:rsidR="00452987" w:rsidRDefault="00452987" w:rsidP="00D37474">
                    <w:pPr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780C613B" w14:textId="77777777" w:rsidR="00452987" w:rsidRDefault="00452987" w:rsidP="00D37474">
                    <w:pPr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</w:pPr>
                  </w:p>
                  <w:p w14:paraId="2AFDDFC7" w14:textId="0F3ED209" w:rsidR="00625715" w:rsidRPr="00BC73D6" w:rsidRDefault="00625715" w:rsidP="00D37474">
                    <w:pPr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B542" w14:textId="0E539084" w:rsidR="00625715" w:rsidRDefault="00625715" w:rsidP="005655BF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2657AB" wp14:editId="54103F27">
              <wp:simplePos x="0" y="0"/>
              <wp:positionH relativeFrom="column">
                <wp:posOffset>-1042035</wp:posOffset>
              </wp:positionH>
              <wp:positionV relativeFrom="paragraph">
                <wp:posOffset>269875</wp:posOffset>
              </wp:positionV>
              <wp:extent cx="4048125" cy="318135"/>
              <wp:effectExtent l="19050" t="95250" r="85725" b="5715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48125" cy="31813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FF000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C6B1B8B" w14:textId="77777777" w:rsidR="00625715" w:rsidRPr="00F15584" w:rsidRDefault="00625715" w:rsidP="00F15584">
                          <w:pPr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</w:pPr>
                          <w:r w:rsidRPr="00F15584"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  <w:t>Mizar   Costellazione di Pensieri</w:t>
                          </w:r>
                          <w:r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  <w:t>, n. 13 Luglio-dicembre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657AB" id="Rectangle 21" o:spid="_x0000_s1028" style="position:absolute;left:0;text-align:left;margin-left:-82.05pt;margin-top:21.25pt;width:318.75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" fillcolor="#31849b [2408]" strokecolor="white [3212]" strokeweight="3pt">
              <v:shadow on="t" color="red" opacity=".5" offset="6pt,-6pt"/>
              <v:textbox>
                <w:txbxContent>
                  <w:p w14:paraId="5C6B1B8B" w14:textId="77777777" w:rsidR="00625715" w:rsidRPr="00F15584" w:rsidRDefault="00625715" w:rsidP="00F15584">
                    <w:pPr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</w:pPr>
                    <w:r w:rsidRPr="00F15584"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  <w:t>Mizar   Costellazione di Pensieri</w:t>
                    </w:r>
                    <w:r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  <w:t>, n. 13 Luglio-dicembre 2020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5A2"/>
    <w:multiLevelType w:val="hybridMultilevel"/>
    <w:tmpl w:val="0E0EB17E"/>
    <w:lvl w:ilvl="0" w:tplc="1DAE26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9702E21"/>
    <w:multiLevelType w:val="hybridMultilevel"/>
    <w:tmpl w:val="3B5EEECA"/>
    <w:lvl w:ilvl="0" w:tplc="B96CF9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ABF0CD7"/>
    <w:multiLevelType w:val="hybridMultilevel"/>
    <w:tmpl w:val="C0786EC4"/>
    <w:lvl w:ilvl="0" w:tplc="76065874">
      <w:start w:val="6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91805EC"/>
    <w:multiLevelType w:val="hybridMultilevel"/>
    <w:tmpl w:val="C6F6683A"/>
    <w:lvl w:ilvl="0" w:tplc="3918D1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C8F3B6E"/>
    <w:multiLevelType w:val="hybridMultilevel"/>
    <w:tmpl w:val="E09ED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isplayBackgroundShape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A5"/>
    <w:rsid w:val="00001B43"/>
    <w:rsid w:val="000230D6"/>
    <w:rsid w:val="00093325"/>
    <w:rsid w:val="000B0173"/>
    <w:rsid w:val="000C0C07"/>
    <w:rsid w:val="000C0F7A"/>
    <w:rsid w:val="000C1152"/>
    <w:rsid w:val="000D076A"/>
    <w:rsid w:val="00114039"/>
    <w:rsid w:val="00122AF5"/>
    <w:rsid w:val="001230D7"/>
    <w:rsid w:val="00140E9A"/>
    <w:rsid w:val="00206F9F"/>
    <w:rsid w:val="00242194"/>
    <w:rsid w:val="00243D26"/>
    <w:rsid w:val="002501E5"/>
    <w:rsid w:val="00261AF2"/>
    <w:rsid w:val="00261F35"/>
    <w:rsid w:val="00281526"/>
    <w:rsid w:val="00296CDD"/>
    <w:rsid w:val="002B7010"/>
    <w:rsid w:val="002C4000"/>
    <w:rsid w:val="002E1B23"/>
    <w:rsid w:val="00300223"/>
    <w:rsid w:val="00331E5D"/>
    <w:rsid w:val="0035311E"/>
    <w:rsid w:val="0035544B"/>
    <w:rsid w:val="003C764E"/>
    <w:rsid w:val="003E194C"/>
    <w:rsid w:val="00407EB7"/>
    <w:rsid w:val="004207A7"/>
    <w:rsid w:val="00436A77"/>
    <w:rsid w:val="00452987"/>
    <w:rsid w:val="0049357E"/>
    <w:rsid w:val="004B476E"/>
    <w:rsid w:val="004B6523"/>
    <w:rsid w:val="004D69A4"/>
    <w:rsid w:val="004F6218"/>
    <w:rsid w:val="00501DAA"/>
    <w:rsid w:val="00516E4D"/>
    <w:rsid w:val="00550CD6"/>
    <w:rsid w:val="005655BF"/>
    <w:rsid w:val="00567B95"/>
    <w:rsid w:val="00587519"/>
    <w:rsid w:val="00594685"/>
    <w:rsid w:val="005C316D"/>
    <w:rsid w:val="005C7C2D"/>
    <w:rsid w:val="005D02E0"/>
    <w:rsid w:val="005E21FD"/>
    <w:rsid w:val="006254A9"/>
    <w:rsid w:val="00625715"/>
    <w:rsid w:val="006319EA"/>
    <w:rsid w:val="00635943"/>
    <w:rsid w:val="0067273F"/>
    <w:rsid w:val="00694BE9"/>
    <w:rsid w:val="006F421D"/>
    <w:rsid w:val="006F5DF8"/>
    <w:rsid w:val="00703A09"/>
    <w:rsid w:val="00704D4E"/>
    <w:rsid w:val="007312CC"/>
    <w:rsid w:val="0074171F"/>
    <w:rsid w:val="00753E27"/>
    <w:rsid w:val="0075672D"/>
    <w:rsid w:val="007F42B5"/>
    <w:rsid w:val="008141DF"/>
    <w:rsid w:val="00816EA3"/>
    <w:rsid w:val="00817805"/>
    <w:rsid w:val="00841F8C"/>
    <w:rsid w:val="0085368D"/>
    <w:rsid w:val="00874C04"/>
    <w:rsid w:val="00885563"/>
    <w:rsid w:val="008C16F3"/>
    <w:rsid w:val="008F068D"/>
    <w:rsid w:val="008F5F38"/>
    <w:rsid w:val="00910B43"/>
    <w:rsid w:val="00931896"/>
    <w:rsid w:val="00932473"/>
    <w:rsid w:val="009367A6"/>
    <w:rsid w:val="009557BC"/>
    <w:rsid w:val="00965C05"/>
    <w:rsid w:val="00967EFB"/>
    <w:rsid w:val="009C5C82"/>
    <w:rsid w:val="00A057F2"/>
    <w:rsid w:val="00A25392"/>
    <w:rsid w:val="00A27C42"/>
    <w:rsid w:val="00A744F6"/>
    <w:rsid w:val="00A74E19"/>
    <w:rsid w:val="00A77B8F"/>
    <w:rsid w:val="00B75CDD"/>
    <w:rsid w:val="00BB3DFB"/>
    <w:rsid w:val="00BB78C2"/>
    <w:rsid w:val="00BC73D6"/>
    <w:rsid w:val="00BD7FE1"/>
    <w:rsid w:val="00BE0434"/>
    <w:rsid w:val="00C012B2"/>
    <w:rsid w:val="00C47B09"/>
    <w:rsid w:val="00C54EA3"/>
    <w:rsid w:val="00C81BA5"/>
    <w:rsid w:val="00CB1043"/>
    <w:rsid w:val="00CC4052"/>
    <w:rsid w:val="00CD300B"/>
    <w:rsid w:val="00CE0605"/>
    <w:rsid w:val="00D3302C"/>
    <w:rsid w:val="00D3451C"/>
    <w:rsid w:val="00D37474"/>
    <w:rsid w:val="00D4799C"/>
    <w:rsid w:val="00D74199"/>
    <w:rsid w:val="00D75F8E"/>
    <w:rsid w:val="00DA4C20"/>
    <w:rsid w:val="00DA667C"/>
    <w:rsid w:val="00DF1944"/>
    <w:rsid w:val="00DF42F4"/>
    <w:rsid w:val="00E209E5"/>
    <w:rsid w:val="00E2619A"/>
    <w:rsid w:val="00E44F5C"/>
    <w:rsid w:val="00EA14C6"/>
    <w:rsid w:val="00EB4567"/>
    <w:rsid w:val="00EC79BB"/>
    <w:rsid w:val="00ED3D9E"/>
    <w:rsid w:val="00F15584"/>
    <w:rsid w:val="00F3041B"/>
    <w:rsid w:val="00F37DE8"/>
    <w:rsid w:val="00F500A7"/>
    <w:rsid w:val="00F53D31"/>
    <w:rsid w:val="00F6497A"/>
    <w:rsid w:val="00FA787D"/>
    <w:rsid w:val="00FB1A93"/>
    <w:rsid w:val="00FB44D3"/>
    <w:rsid w:val="00FD6D2D"/>
    <w:rsid w:val="00FE11D7"/>
    <w:rsid w:val="00FF0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76190"/>
  <w15:docId w15:val="{D369D0A6-571F-4A75-BC4C-078FA66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1BA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1BA5"/>
    <w:pPr>
      <w:ind w:left="720"/>
      <w:contextualSpacing/>
    </w:pPr>
  </w:style>
  <w:style w:type="paragraph" w:styleId="Testonotaapidipagina">
    <w:name w:val="footnote text"/>
    <w:aliases w:val="NOTA,nota piè pagina,nota"/>
    <w:basedOn w:val="Normale"/>
    <w:link w:val="TestonotaapidipaginaCarattere"/>
    <w:uiPriority w:val="99"/>
    <w:unhideWhenUsed/>
    <w:qFormat/>
    <w:rsid w:val="00C81B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NOTA Carattere,nota piè pagina Carattere,nota Carattere"/>
    <w:basedOn w:val="Carpredefinitoparagrafo"/>
    <w:link w:val="Testonotaapidipagina"/>
    <w:uiPriority w:val="99"/>
    <w:rsid w:val="00C81B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1BA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81BA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A5"/>
  </w:style>
  <w:style w:type="paragraph" w:styleId="Pidipagina">
    <w:name w:val="footer"/>
    <w:basedOn w:val="Normale"/>
    <w:link w:val="Pidipagina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BA5"/>
  </w:style>
  <w:style w:type="paragraph" w:styleId="Titolo">
    <w:name w:val="Title"/>
    <w:basedOn w:val="Normale"/>
    <w:next w:val="Normale"/>
    <w:link w:val="TitoloCarattere"/>
    <w:uiPriority w:val="10"/>
    <w:qFormat/>
    <w:rsid w:val="0067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7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97A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54A9"/>
    <w:rPr>
      <w:color w:val="605E5C"/>
      <w:shd w:val="clear" w:color="auto" w:fill="E1DFDD"/>
    </w:rPr>
  </w:style>
  <w:style w:type="character" w:customStyle="1" w:styleId="a">
    <w:name w:val="a"/>
    <w:basedOn w:val="Carpredefinitoparagrafo"/>
    <w:rsid w:val="006254A9"/>
  </w:style>
  <w:style w:type="character" w:customStyle="1" w:styleId="l6">
    <w:name w:val="l6"/>
    <w:basedOn w:val="Carpredefinitoparagrafo"/>
    <w:rsid w:val="006254A9"/>
  </w:style>
  <w:style w:type="character" w:customStyle="1" w:styleId="tlid-translation">
    <w:name w:val="tlid-translation"/>
    <w:basedOn w:val="Carpredefinitoparagrafo"/>
    <w:rsid w:val="006254A9"/>
  </w:style>
  <w:style w:type="character" w:styleId="Testosegnaposto">
    <w:name w:val="Placeholder Text"/>
    <w:basedOn w:val="Carpredefinitoparagrafo"/>
    <w:uiPriority w:val="99"/>
    <w:semiHidden/>
    <w:rsid w:val="006254A9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6254A9"/>
    <w:rPr>
      <w:i/>
      <w:iCs/>
    </w:rPr>
  </w:style>
  <w:style w:type="paragraph" w:styleId="Nessunaspaziatura">
    <w:name w:val="No Spacing"/>
    <w:uiPriority w:val="1"/>
    <w:qFormat/>
    <w:rsid w:val="0049357E"/>
    <w:pPr>
      <w:spacing w:after="0" w:line="240" w:lineRule="auto"/>
      <w:jc w:val="right"/>
    </w:pPr>
    <w:rPr>
      <w:rFonts w:ascii="Garamond" w:hAnsi="Garamond"/>
      <w:sz w:val="3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67A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207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07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207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07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0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02DE-3A51-4376-81BB-723C9CA6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maggi</dc:creator>
  <cp:lastModifiedBy>Lorena</cp:lastModifiedBy>
  <cp:revision>5</cp:revision>
  <cp:lastPrinted>2020-11-28T11:45:00Z</cp:lastPrinted>
  <dcterms:created xsi:type="dcterms:W3CDTF">2021-12-19T16:09:00Z</dcterms:created>
  <dcterms:modified xsi:type="dcterms:W3CDTF">2021-12-19T16:16:00Z</dcterms:modified>
</cp:coreProperties>
</file>