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EF893" w14:textId="7CC558EA" w:rsidR="002633EC" w:rsidRPr="002633EC" w:rsidRDefault="002633EC" w:rsidP="002633EC">
      <w:pPr>
        <w:spacing w:before="300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 w:rsidRPr="002633EC">
        <w:rPr>
          <w:rFonts w:ascii="Arial" w:hAnsi="Arial" w:cs="Arial"/>
          <w:b/>
          <w:bCs/>
          <w:sz w:val="30"/>
          <w:szCs w:val="30"/>
          <w:lang w:val="en-US"/>
        </w:rPr>
        <w:t>T</w:t>
      </w:r>
      <w:r>
        <w:rPr>
          <w:rFonts w:ascii="Arial" w:hAnsi="Arial" w:cs="Arial"/>
          <w:b/>
          <w:bCs/>
          <w:sz w:val="30"/>
          <w:szCs w:val="30"/>
          <w:lang w:val="en-US"/>
        </w:rPr>
        <w:t>RIPLE</w:t>
      </w:r>
      <w:r w:rsidRPr="002633EC">
        <w:rPr>
          <w:rFonts w:ascii="Arial" w:hAnsi="Arial" w:cs="Arial"/>
          <w:b/>
          <w:bCs/>
          <w:sz w:val="30"/>
          <w:szCs w:val="30"/>
          <w:lang w:val="en-US"/>
        </w:rPr>
        <w:t xml:space="preserve"> </w:t>
      </w:r>
      <w:r>
        <w:rPr>
          <w:rFonts w:ascii="Arial" w:hAnsi="Arial" w:cs="Arial"/>
          <w:b/>
          <w:bCs/>
          <w:sz w:val="30"/>
          <w:szCs w:val="30"/>
          <w:lang w:val="en-US"/>
        </w:rPr>
        <w:t>DUPLICITY</w:t>
      </w:r>
      <w:r w:rsidRPr="002633EC">
        <w:rPr>
          <w:rFonts w:ascii="Arial" w:hAnsi="Arial" w:cs="Arial"/>
          <w:b/>
          <w:bCs/>
          <w:sz w:val="30"/>
          <w:szCs w:val="30"/>
          <w:lang w:val="en-US"/>
        </w:rPr>
        <w:t xml:space="preserve"> </w:t>
      </w:r>
      <w:r>
        <w:rPr>
          <w:rFonts w:ascii="Arial" w:hAnsi="Arial" w:cs="Arial"/>
          <w:b/>
          <w:bCs/>
          <w:sz w:val="30"/>
          <w:szCs w:val="30"/>
          <w:lang w:val="en-US"/>
        </w:rPr>
        <w:t>AND</w:t>
      </w:r>
      <w:r w:rsidRPr="002633EC">
        <w:rPr>
          <w:rFonts w:ascii="Arial" w:hAnsi="Arial" w:cs="Arial"/>
          <w:b/>
          <w:bCs/>
          <w:sz w:val="30"/>
          <w:szCs w:val="30"/>
          <w:lang w:val="en-US"/>
        </w:rPr>
        <w:t xml:space="preserve"> AVT </w:t>
      </w:r>
      <w:r>
        <w:rPr>
          <w:rFonts w:ascii="Arial" w:hAnsi="Arial" w:cs="Arial"/>
          <w:b/>
          <w:bCs/>
          <w:sz w:val="30"/>
          <w:szCs w:val="30"/>
          <w:lang w:val="en-US"/>
        </w:rPr>
        <w:t>STRATEGIES</w:t>
      </w:r>
      <w:r w:rsidRPr="002633EC">
        <w:rPr>
          <w:rFonts w:ascii="Arial" w:hAnsi="Arial" w:cs="Arial"/>
          <w:b/>
          <w:bCs/>
          <w:sz w:val="30"/>
          <w:szCs w:val="30"/>
          <w:lang w:val="en-US"/>
        </w:rPr>
        <w:t>:</w:t>
      </w:r>
    </w:p>
    <w:p w14:paraId="14F2FCFE" w14:textId="391449FD" w:rsidR="002633EC" w:rsidRPr="002633EC" w:rsidRDefault="002633EC" w:rsidP="002633EC">
      <w:pPr>
        <w:spacing w:before="300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 w:rsidRPr="002633EC">
        <w:rPr>
          <w:rFonts w:ascii="Arial" w:hAnsi="Arial" w:cs="Arial"/>
          <w:b/>
          <w:bCs/>
          <w:sz w:val="30"/>
          <w:szCs w:val="30"/>
          <w:lang w:val="en-US"/>
        </w:rPr>
        <w:t xml:space="preserve">A </w:t>
      </w:r>
      <w:r>
        <w:rPr>
          <w:rFonts w:ascii="Arial" w:hAnsi="Arial" w:cs="Arial"/>
          <w:b/>
          <w:bCs/>
          <w:sz w:val="30"/>
          <w:szCs w:val="30"/>
          <w:lang w:val="en-US"/>
        </w:rPr>
        <w:t>Qualitative</w:t>
      </w:r>
      <w:r w:rsidRPr="002633EC">
        <w:rPr>
          <w:rFonts w:ascii="Arial" w:hAnsi="Arial" w:cs="Arial"/>
          <w:b/>
          <w:bCs/>
          <w:sz w:val="30"/>
          <w:szCs w:val="30"/>
          <w:lang w:val="en-US"/>
        </w:rPr>
        <w:t xml:space="preserve"> A</w:t>
      </w:r>
      <w:r>
        <w:rPr>
          <w:rFonts w:ascii="Arial" w:hAnsi="Arial" w:cs="Arial"/>
          <w:b/>
          <w:bCs/>
          <w:sz w:val="30"/>
          <w:szCs w:val="30"/>
          <w:lang w:val="en-US"/>
        </w:rPr>
        <w:t>nalysis of</w:t>
      </w:r>
      <w:r w:rsidRPr="002633EC">
        <w:rPr>
          <w:rFonts w:ascii="Arial" w:hAnsi="Arial" w:cs="Arial"/>
          <w:b/>
          <w:bCs/>
          <w:sz w:val="30"/>
          <w:szCs w:val="30"/>
          <w:lang w:val="en-US"/>
        </w:rPr>
        <w:t xml:space="preserve"> </w:t>
      </w:r>
      <w:r w:rsidRPr="002633EC">
        <w:rPr>
          <w:rFonts w:ascii="Arial" w:hAnsi="Arial" w:cs="Arial"/>
          <w:b/>
          <w:bCs/>
          <w:i/>
          <w:iCs/>
          <w:sz w:val="30"/>
          <w:szCs w:val="30"/>
          <w:lang w:val="en-US"/>
        </w:rPr>
        <w:t>Modern Family</w:t>
      </w:r>
      <w:r w:rsidRPr="002633EC">
        <w:rPr>
          <w:rFonts w:ascii="Arial" w:hAnsi="Arial" w:cs="Arial"/>
          <w:b/>
          <w:bCs/>
          <w:sz w:val="30"/>
          <w:szCs w:val="30"/>
          <w:lang w:val="en-US"/>
        </w:rPr>
        <w:t xml:space="preserve"> (2009-2020)</w:t>
      </w:r>
    </w:p>
    <w:p w14:paraId="5ED1A084" w14:textId="77777777" w:rsidR="001D60AE" w:rsidRPr="00AB750C" w:rsidRDefault="001D60AE" w:rsidP="002633EC">
      <w:pPr>
        <w:spacing w:before="260" w:after="0" w:line="240" w:lineRule="auto"/>
        <w:jc w:val="center"/>
        <w:rPr>
          <w:rFonts w:ascii="Arial" w:hAnsi="Arial" w:cs="Arial"/>
          <w:sz w:val="26"/>
          <w:szCs w:val="26"/>
          <w:lang w:val="en-US"/>
        </w:rPr>
      </w:pPr>
      <w:proofErr w:type="spellStart"/>
      <w:r w:rsidRPr="00AB750C">
        <w:rPr>
          <w:rFonts w:ascii="Arial" w:hAnsi="Arial" w:cs="Arial"/>
          <w:sz w:val="26"/>
          <w:szCs w:val="26"/>
          <w:lang w:val="en-US"/>
        </w:rPr>
        <w:t>Aɴɢ</w:t>
      </w:r>
      <w:proofErr w:type="spellEnd"/>
      <w:r w:rsidRPr="001D60AE">
        <w:rPr>
          <w:rFonts w:ascii="Arial" w:hAnsi="Arial" w:cs="Arial"/>
          <w:sz w:val="26"/>
          <w:szCs w:val="26"/>
        </w:rPr>
        <w:t>ᴇ</w:t>
      </w:r>
      <w:r w:rsidRPr="00AB750C">
        <w:rPr>
          <w:rFonts w:ascii="Arial" w:hAnsi="Arial" w:cs="Arial"/>
          <w:sz w:val="26"/>
          <w:szCs w:val="26"/>
          <w:lang w:val="en-US"/>
        </w:rPr>
        <w:t>ʟ</w:t>
      </w:r>
      <w:r w:rsidRPr="001D60AE">
        <w:rPr>
          <w:rFonts w:ascii="Arial" w:hAnsi="Arial" w:cs="Arial"/>
          <w:sz w:val="26"/>
          <w:szCs w:val="26"/>
        </w:rPr>
        <w:t>ᴀ</w:t>
      </w:r>
      <w:r w:rsidRPr="00AB750C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AB750C">
        <w:rPr>
          <w:rFonts w:ascii="Arial" w:hAnsi="Arial" w:cs="Arial"/>
          <w:sz w:val="26"/>
          <w:szCs w:val="26"/>
          <w:lang w:val="en-US"/>
        </w:rPr>
        <w:t>Sɪʟ</w:t>
      </w:r>
      <w:proofErr w:type="spellEnd"/>
      <w:r w:rsidRPr="001D60AE">
        <w:rPr>
          <w:rFonts w:ascii="Arial" w:hAnsi="Arial" w:cs="Arial"/>
          <w:sz w:val="26"/>
          <w:szCs w:val="26"/>
        </w:rPr>
        <w:t>ᴇᴏ</w:t>
      </w:r>
    </w:p>
    <w:p w14:paraId="0CA633F4" w14:textId="02083AA9" w:rsidR="002633EC" w:rsidRPr="00AB750C" w:rsidRDefault="001D60AE" w:rsidP="001D60AE">
      <w:pPr>
        <w:jc w:val="center"/>
        <w:rPr>
          <w:rFonts w:ascii="Arial" w:hAnsi="Arial" w:cs="Arial"/>
          <w:lang w:val="en-US"/>
        </w:rPr>
      </w:pPr>
      <w:proofErr w:type="spellStart"/>
      <w:r w:rsidRPr="00AB750C">
        <w:rPr>
          <w:rFonts w:ascii="Arial" w:hAnsi="Arial" w:cs="Arial"/>
          <w:lang w:val="en-US"/>
        </w:rPr>
        <w:t>Uɴɪ</w:t>
      </w:r>
      <w:proofErr w:type="spellEnd"/>
      <w:r w:rsidRPr="001D60AE">
        <w:rPr>
          <w:rFonts w:ascii="Arial" w:hAnsi="Arial" w:cs="Arial"/>
        </w:rPr>
        <w:t>ᴠᴇ</w:t>
      </w:r>
      <w:proofErr w:type="spellStart"/>
      <w:r w:rsidRPr="00AB750C">
        <w:rPr>
          <w:rFonts w:ascii="Arial" w:hAnsi="Arial" w:cs="Arial"/>
          <w:lang w:val="en-US"/>
        </w:rPr>
        <w:t>ʀsɪ</w:t>
      </w:r>
      <w:proofErr w:type="spellEnd"/>
      <w:r w:rsidRPr="001D60AE">
        <w:rPr>
          <w:rFonts w:ascii="Arial" w:hAnsi="Arial" w:cs="Arial"/>
        </w:rPr>
        <w:t>ᴛᴀ</w:t>
      </w:r>
      <w:r w:rsidRPr="00AB750C">
        <w:rPr>
          <w:rFonts w:ascii="Arial" w:hAnsi="Arial" w:cs="Arial"/>
          <w:lang w:val="en-US"/>
        </w:rPr>
        <w:t xml:space="preserve">̀ </w:t>
      </w:r>
      <w:r w:rsidRPr="001D60AE">
        <w:rPr>
          <w:rFonts w:ascii="Arial" w:hAnsi="Arial" w:cs="Arial"/>
        </w:rPr>
        <w:t>ᴅᴇ</w:t>
      </w:r>
      <w:proofErr w:type="spellStart"/>
      <w:r w:rsidRPr="00AB750C">
        <w:rPr>
          <w:rFonts w:ascii="Arial" w:hAnsi="Arial" w:cs="Arial"/>
          <w:lang w:val="en-US"/>
        </w:rPr>
        <w:t>ɢʟɪ</w:t>
      </w:r>
      <w:proofErr w:type="spellEnd"/>
      <w:r w:rsidRPr="00AB750C">
        <w:rPr>
          <w:rFonts w:ascii="Arial" w:hAnsi="Arial" w:cs="Arial"/>
          <w:lang w:val="en-US"/>
        </w:rPr>
        <w:t xml:space="preserve"> S</w:t>
      </w:r>
      <w:r w:rsidRPr="001D60AE">
        <w:rPr>
          <w:rFonts w:ascii="Arial" w:hAnsi="Arial" w:cs="Arial"/>
        </w:rPr>
        <w:t>ᴛᴜᴅ</w:t>
      </w:r>
      <w:r w:rsidRPr="00AB750C">
        <w:rPr>
          <w:rFonts w:ascii="Arial" w:hAnsi="Arial" w:cs="Arial"/>
          <w:lang w:val="en-US"/>
        </w:rPr>
        <w:t xml:space="preserve">ɪ </w:t>
      </w:r>
      <w:r w:rsidRPr="001D60AE">
        <w:rPr>
          <w:rFonts w:ascii="Arial" w:hAnsi="Arial" w:cs="Arial"/>
        </w:rPr>
        <w:t>ᴅ</w:t>
      </w:r>
      <w:r w:rsidRPr="00AB750C">
        <w:rPr>
          <w:rFonts w:ascii="Arial" w:hAnsi="Arial" w:cs="Arial"/>
          <w:lang w:val="en-US"/>
        </w:rPr>
        <w:t xml:space="preserve">ɪ </w:t>
      </w:r>
      <w:proofErr w:type="spellStart"/>
      <w:r w:rsidRPr="00AB750C">
        <w:rPr>
          <w:rFonts w:ascii="Arial" w:hAnsi="Arial" w:cs="Arial"/>
          <w:lang w:val="en-US"/>
        </w:rPr>
        <w:t>Mɪʟ</w:t>
      </w:r>
      <w:proofErr w:type="spellEnd"/>
      <w:r w:rsidRPr="001D60AE">
        <w:rPr>
          <w:rFonts w:ascii="Arial" w:hAnsi="Arial" w:cs="Arial"/>
        </w:rPr>
        <w:t>ᴀ</w:t>
      </w:r>
      <w:r w:rsidRPr="00AB750C">
        <w:rPr>
          <w:rFonts w:ascii="Arial" w:hAnsi="Arial" w:cs="Arial"/>
          <w:lang w:val="en-US"/>
        </w:rPr>
        <w:t>ɴ</w:t>
      </w:r>
      <w:r w:rsidRPr="001D60AE">
        <w:rPr>
          <w:rFonts w:ascii="Arial" w:hAnsi="Arial" w:cs="Arial"/>
        </w:rPr>
        <w:t>ᴏ</w:t>
      </w:r>
    </w:p>
    <w:p w14:paraId="100FBED5" w14:textId="77777777" w:rsidR="001D60AE" w:rsidRDefault="001D60AE" w:rsidP="00AB7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0CF3FB" w14:textId="77777777" w:rsidR="00AB750C" w:rsidRPr="00AB750C" w:rsidRDefault="00AB750C" w:rsidP="00AB7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1061D0" w14:textId="6D26C7CF" w:rsidR="002633EC" w:rsidRPr="002633EC" w:rsidRDefault="002633EC" w:rsidP="00AB75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Hlk170674404"/>
      <w:r w:rsidRPr="002633EC">
        <w:rPr>
          <w:rFonts w:ascii="Times New Roman" w:hAnsi="Times New Roman" w:cs="Times New Roman"/>
          <w:b/>
          <w:bCs/>
          <w:sz w:val="20"/>
          <w:szCs w:val="20"/>
          <w:lang w:val="en-US"/>
        </w:rPr>
        <w:t>Abstract</w:t>
      </w:r>
      <w:r w:rsidRPr="002633EC">
        <w:rPr>
          <w:rFonts w:ascii="Times New Roman" w:hAnsi="Times New Roman" w:cs="Times New Roman"/>
          <w:sz w:val="20"/>
          <w:szCs w:val="20"/>
          <w:lang w:val="en-US"/>
        </w:rPr>
        <w:t xml:space="preserve"> – Steiner</w:t>
      </w:r>
      <w:r w:rsidR="00E94D52">
        <w:rPr>
          <w:rFonts w:ascii="Times New Roman" w:hAnsi="Times New Roman" w:cs="Times New Roman"/>
          <w:sz w:val="20"/>
          <w:szCs w:val="20"/>
          <w:lang w:val="en-US"/>
        </w:rPr>
        <w:t>’</w:t>
      </w:r>
      <w:r w:rsidRPr="002633EC">
        <w:rPr>
          <w:rFonts w:ascii="Times New Roman" w:hAnsi="Times New Roman" w:cs="Times New Roman"/>
          <w:sz w:val="20"/>
          <w:szCs w:val="20"/>
          <w:lang w:val="en-US"/>
        </w:rPr>
        <w:t xml:space="preserve">s view of translation (1975) as a </w:t>
      </w:r>
      <w:r w:rsidR="00E94D52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2633EC">
        <w:rPr>
          <w:rFonts w:ascii="Times New Roman" w:hAnsi="Times New Roman" w:cs="Times New Roman"/>
          <w:sz w:val="20"/>
          <w:szCs w:val="20"/>
          <w:lang w:val="en-US"/>
        </w:rPr>
        <w:t>leap</w:t>
      </w:r>
      <w:r w:rsidR="00E94D52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Pr="002633EC">
        <w:rPr>
          <w:rFonts w:ascii="Times New Roman" w:hAnsi="Times New Roman" w:cs="Times New Roman"/>
          <w:sz w:val="20"/>
          <w:szCs w:val="20"/>
          <w:lang w:val="en-US"/>
        </w:rPr>
        <w:t xml:space="preserve"> of faith in the source text on behalf of the translator takes on new complexities when applied to Audiovisual Translation (AVT), an adaptation process which demands a parallel commitment to the translated text on behalf of its user(s). While tele-cinematic products require audiences to suspend their disbelief visually (</w:t>
      </w:r>
      <w:r w:rsidRPr="002633EC">
        <w:rPr>
          <w:rFonts w:ascii="Times New Roman" w:hAnsi="Times New Roman" w:cs="Times New Roman"/>
          <w:i/>
          <w:iCs/>
          <w:sz w:val="20"/>
          <w:szCs w:val="20"/>
          <w:lang w:val="en-US"/>
        </w:rPr>
        <w:t>visual belief</w:t>
      </w:r>
      <w:r w:rsidRPr="002633EC">
        <w:rPr>
          <w:rFonts w:ascii="Times New Roman" w:hAnsi="Times New Roman" w:cs="Times New Roman"/>
          <w:sz w:val="20"/>
          <w:szCs w:val="20"/>
          <w:lang w:val="en-US"/>
        </w:rPr>
        <w:t>), dubbed products go a step further, asking viewers to accept the plausibility of the target language speech delivered on the screen by source language characters (</w:t>
      </w:r>
      <w:r w:rsidRPr="002633EC">
        <w:rPr>
          <w:rFonts w:ascii="Times New Roman" w:hAnsi="Times New Roman" w:cs="Times New Roman"/>
          <w:i/>
          <w:iCs/>
          <w:sz w:val="20"/>
          <w:szCs w:val="20"/>
          <w:lang w:val="en-US"/>
        </w:rPr>
        <w:t>acoustic belief</w:t>
      </w:r>
      <w:r w:rsidRPr="002633EC">
        <w:rPr>
          <w:rFonts w:ascii="Times New Roman" w:hAnsi="Times New Roman" w:cs="Times New Roman"/>
          <w:sz w:val="20"/>
          <w:szCs w:val="20"/>
          <w:lang w:val="en-US"/>
        </w:rPr>
        <w:t>) (Bucaria 2008). This inherent duplicity in dubbing – where seemingly spontaneous speech is, in fact, artificial, characterized by pre-fabricated orality (Romero-Fresco 2009) and, more specifically, by an unnatural use of discourse markers (Sileo 2017, among others) – forms the foundation of this study.</w:t>
      </w:r>
    </w:p>
    <w:p w14:paraId="52665D78" w14:textId="4A421AFC" w:rsidR="002633EC" w:rsidRPr="002633EC" w:rsidRDefault="002633EC" w:rsidP="00AB75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633EC">
        <w:rPr>
          <w:rFonts w:ascii="Times New Roman" w:hAnsi="Times New Roman" w:cs="Times New Roman"/>
          <w:sz w:val="20"/>
          <w:szCs w:val="20"/>
          <w:lang w:val="en-US"/>
        </w:rPr>
        <w:t xml:space="preserve">The challenge is even greater when considering mockumentaries, </w:t>
      </w:r>
      <w:r w:rsidRPr="002633EC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val="en-US" w:eastAsia="it-IT"/>
          <w14:ligatures w14:val="none"/>
        </w:rPr>
        <w:t>which blend fictional narratives with documentary filmmaking techniques</w:t>
      </w:r>
      <w:r w:rsidRPr="002633E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.</w:t>
      </w:r>
      <w:r w:rsidRPr="002633EC">
        <w:rPr>
          <w:rFonts w:ascii="Times New Roman" w:hAnsi="Times New Roman" w:cs="Times New Roman"/>
          <w:sz w:val="20"/>
          <w:szCs w:val="20"/>
          <w:lang w:val="en-US"/>
        </w:rPr>
        <w:t xml:space="preserve"> In this regard, the case of </w:t>
      </w:r>
      <w:r w:rsidRPr="002633EC">
        <w:rPr>
          <w:rFonts w:ascii="Times New Roman" w:hAnsi="Times New Roman" w:cs="Times New Roman"/>
          <w:i/>
          <w:iCs/>
          <w:sz w:val="20"/>
          <w:szCs w:val="20"/>
          <w:lang w:val="en-US"/>
        </w:rPr>
        <w:t>Modern Family</w:t>
      </w:r>
      <w:r w:rsidRPr="002633EC">
        <w:rPr>
          <w:rFonts w:ascii="Times New Roman" w:hAnsi="Times New Roman" w:cs="Times New Roman"/>
          <w:sz w:val="20"/>
          <w:szCs w:val="20"/>
          <w:lang w:val="en-US"/>
        </w:rPr>
        <w:t xml:space="preserve"> stands out as a peculiar example: conceived as a simulated </w:t>
      </w:r>
      <w:proofErr w:type="spellStart"/>
      <w:r w:rsidRPr="002633EC">
        <w:rPr>
          <w:rFonts w:ascii="Times New Roman" w:hAnsi="Times New Roman" w:cs="Times New Roman"/>
          <w:sz w:val="20"/>
          <w:szCs w:val="20"/>
          <w:lang w:val="en-US"/>
        </w:rPr>
        <w:t>docu</w:t>
      </w:r>
      <w:proofErr w:type="spellEnd"/>
      <w:r w:rsidRPr="002633EC">
        <w:rPr>
          <w:rFonts w:ascii="Times New Roman" w:hAnsi="Times New Roman" w:cs="Times New Roman"/>
          <w:sz w:val="20"/>
          <w:szCs w:val="20"/>
          <w:lang w:val="en-US"/>
        </w:rPr>
        <w:t xml:space="preserve">-reality or </w:t>
      </w:r>
      <w:proofErr w:type="spellStart"/>
      <w:r w:rsidRPr="002633EC">
        <w:rPr>
          <w:rFonts w:ascii="Times New Roman" w:hAnsi="Times New Roman" w:cs="Times New Roman"/>
          <w:sz w:val="20"/>
          <w:szCs w:val="20"/>
          <w:lang w:val="en-US"/>
        </w:rPr>
        <w:t>mockureality</w:t>
      </w:r>
      <w:proofErr w:type="spellEnd"/>
      <w:r w:rsidRPr="002633EC">
        <w:rPr>
          <w:rFonts w:ascii="Times New Roman" w:hAnsi="Times New Roman" w:cs="Times New Roman"/>
          <w:sz w:val="20"/>
          <w:szCs w:val="20"/>
          <w:lang w:val="en-US"/>
        </w:rPr>
        <w:t xml:space="preserve"> (a mock </w:t>
      </w:r>
      <w:proofErr w:type="spellStart"/>
      <w:r w:rsidRPr="002633EC">
        <w:rPr>
          <w:rFonts w:ascii="Times New Roman" w:hAnsi="Times New Roman" w:cs="Times New Roman"/>
          <w:sz w:val="20"/>
          <w:szCs w:val="20"/>
          <w:lang w:val="en-US"/>
        </w:rPr>
        <w:t>docu</w:t>
      </w:r>
      <w:proofErr w:type="spellEnd"/>
      <w:r w:rsidRPr="002633EC">
        <w:rPr>
          <w:rFonts w:ascii="Times New Roman" w:hAnsi="Times New Roman" w:cs="Times New Roman"/>
          <w:sz w:val="20"/>
          <w:szCs w:val="20"/>
          <w:lang w:val="en-US"/>
        </w:rPr>
        <w:t xml:space="preserve">-reality show), it skillfully employs the visual language typical of the genre. Yet, it adheres to scripted scenarios, resulting in what we might term </w:t>
      </w:r>
      <w:r w:rsidR="00E94D52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2633EC">
        <w:rPr>
          <w:rFonts w:ascii="Times New Roman" w:hAnsi="Times New Roman" w:cs="Times New Roman"/>
          <w:sz w:val="20"/>
          <w:szCs w:val="20"/>
          <w:lang w:val="en-US"/>
        </w:rPr>
        <w:t>triple duplicity</w:t>
      </w:r>
      <w:r w:rsidR="00E94D52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Pr="002633EC">
        <w:rPr>
          <w:rFonts w:ascii="Times New Roman" w:hAnsi="Times New Roman" w:cs="Times New Roman"/>
          <w:sz w:val="20"/>
          <w:szCs w:val="20"/>
          <w:lang w:val="en-US"/>
        </w:rPr>
        <w:t xml:space="preserve"> inherent in its adaptation: the interplay of scripted spontaneity, mockumentary conventions, and interlingual translation. </w:t>
      </w:r>
    </w:p>
    <w:p w14:paraId="11534707" w14:textId="590DE38F" w:rsidR="002633EC" w:rsidRPr="002633EC" w:rsidRDefault="002633EC" w:rsidP="00AB75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633EC">
        <w:rPr>
          <w:rFonts w:ascii="Times New Roman" w:hAnsi="Times New Roman" w:cs="Times New Roman"/>
          <w:sz w:val="20"/>
          <w:szCs w:val="20"/>
          <w:lang w:val="en-US"/>
        </w:rPr>
        <w:t xml:space="preserve">The aim of this paper is to provide a qualitative analysis of how the adaptors have dealt with the complex challenges of </w:t>
      </w:r>
      <w:r w:rsidR="00E94D52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2633EC">
        <w:rPr>
          <w:rFonts w:ascii="Times New Roman" w:hAnsi="Times New Roman" w:cs="Times New Roman"/>
          <w:sz w:val="20"/>
          <w:szCs w:val="20"/>
          <w:lang w:val="en-US"/>
        </w:rPr>
        <w:t>triple duplicity</w:t>
      </w:r>
      <w:r w:rsidR="00E94D52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Pr="002633EC">
        <w:rPr>
          <w:rFonts w:ascii="Times New Roman" w:hAnsi="Times New Roman" w:cs="Times New Roman"/>
          <w:sz w:val="20"/>
          <w:szCs w:val="20"/>
          <w:lang w:val="en-US"/>
        </w:rPr>
        <w:t xml:space="preserve">, with a focus on the transfer of specific </w:t>
      </w:r>
      <w:r w:rsidR="00EF61C5">
        <w:rPr>
          <w:rFonts w:ascii="Times New Roman" w:hAnsi="Times New Roman" w:cs="Times New Roman"/>
          <w:sz w:val="20"/>
          <w:szCs w:val="20"/>
          <w:lang w:val="en-US"/>
        </w:rPr>
        <w:t xml:space="preserve">“carriers of orality” (Pavesi 2008) </w:t>
      </w:r>
      <w:r w:rsidRPr="002633EC">
        <w:rPr>
          <w:rFonts w:ascii="Times New Roman" w:hAnsi="Times New Roman" w:cs="Times New Roman"/>
          <w:sz w:val="20"/>
          <w:szCs w:val="20"/>
          <w:lang w:val="en-US"/>
        </w:rPr>
        <w:t xml:space="preserve">from English into Italian. </w:t>
      </w:r>
    </w:p>
    <w:p w14:paraId="42D887B9" w14:textId="77777777" w:rsidR="002633EC" w:rsidRDefault="002633EC" w:rsidP="002633EC">
      <w:pPr>
        <w:spacing w:before="24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633EC">
        <w:rPr>
          <w:rFonts w:ascii="Times New Roman" w:hAnsi="Times New Roman" w:cs="Times New Roman"/>
          <w:b/>
          <w:bCs/>
          <w:sz w:val="20"/>
          <w:szCs w:val="20"/>
          <w:lang w:val="en-US"/>
        </w:rPr>
        <w:t>Keywords:</w:t>
      </w:r>
      <w:r w:rsidRPr="002633EC">
        <w:rPr>
          <w:rFonts w:ascii="Times New Roman" w:hAnsi="Times New Roman" w:cs="Times New Roman"/>
          <w:sz w:val="20"/>
          <w:szCs w:val="20"/>
          <w:lang w:val="en-US"/>
        </w:rPr>
        <w:t xml:space="preserve"> Oral mediation – AVT – dubbing – orality – discourse markers</w:t>
      </w:r>
    </w:p>
    <w:bookmarkEnd w:id="0"/>
    <w:p w14:paraId="1800CA67" w14:textId="77777777" w:rsidR="00E94D52" w:rsidRDefault="00E94D52" w:rsidP="00AB750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1FFE84D" w14:textId="77777777" w:rsidR="00AB750C" w:rsidRPr="00AB750C" w:rsidRDefault="00AB750C" w:rsidP="00AB750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891165E" w14:textId="0E7E5A67" w:rsidR="00E94D52" w:rsidRPr="00AB750C" w:rsidRDefault="00C12EA5" w:rsidP="00AB7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D60AE">
        <w:rPr>
          <w:rFonts w:ascii="Times New Roman" w:hAnsi="Times New Roman" w:cs="Times New Roman"/>
          <w:b/>
          <w:bCs/>
          <w:sz w:val="20"/>
          <w:szCs w:val="20"/>
        </w:rPr>
        <w:t>Abstract</w:t>
      </w:r>
      <w:r w:rsidRPr="001D60AE">
        <w:rPr>
          <w:rFonts w:ascii="Times New Roman" w:hAnsi="Times New Roman" w:cs="Times New Roman"/>
          <w:sz w:val="20"/>
          <w:szCs w:val="20"/>
        </w:rPr>
        <w:t xml:space="preserve"> – 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Nella concezione steineriana, la traduzione prende avvio da un atto di fede 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(1975) 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da parte del traduttore nei confronti del testo di partenza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, un atto 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che 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si carica di ulteriori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complessità nel 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caso della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traduzione audiovisiva (TAV). Qu</w:t>
      </w:r>
      <w:r w:rsidR="001D60AE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i si 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richiede </w:t>
      </w:r>
      <w:r w:rsidR="001D60AE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all’utente 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un impegno parallelo</w:t>
      </w:r>
      <w:r w:rsidR="001D60AE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, duplice: se è necessario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sospendere la </w:t>
      </w:r>
      <w:proofErr w:type="spellStart"/>
      <w:r w:rsidR="00E94D52" w:rsidRPr="001D60AE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dis</w:t>
      </w:r>
      <w:r w:rsidR="00EF61C5" w:rsidRPr="001D60AE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b</w:t>
      </w:r>
      <w:r w:rsidR="00E94D52" w:rsidRPr="001D60AE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eli</w:t>
      </w:r>
      <w:r w:rsidR="00EF61C5" w:rsidRPr="001D60AE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e</w:t>
      </w:r>
      <w:r w:rsidR="00E94D52" w:rsidRPr="001D60AE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f</w:t>
      </w:r>
      <w:proofErr w:type="spellEnd"/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da un punto di vista visivo</w:t>
      </w:r>
      <w:r w:rsidR="001D60AE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,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u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n 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ulteriore passaggio</w:t>
      </w:r>
      <w:r w:rsidR="001D60AE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si rivela fondamentale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, quello di accettare la plausibilità del discorso tradotto 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enunciato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sullo schermo dai personaggi che parlano nella lingua di arrivo (</w:t>
      </w:r>
      <w:r w:rsidR="00E94D52" w:rsidRPr="001D60AE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acoustic </w:t>
      </w:r>
      <w:proofErr w:type="spellStart"/>
      <w:r w:rsidR="00E94D52" w:rsidRPr="001D60AE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belief</w:t>
      </w:r>
      <w:proofErr w:type="spellEnd"/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) (</w:t>
      </w:r>
      <w:proofErr w:type="spellStart"/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Bucaria</w:t>
      </w:r>
      <w:proofErr w:type="spellEnd"/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2008). 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Il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presente studio 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prende avvio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dal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la duplicità inerente nel processo 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di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doppiaggio, 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che produce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un dialogo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solo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apparentemente spontaneo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: nella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realtà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,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si tratta di una lingua 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artificiale e caratterizzat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>a</w:t>
      </w:r>
      <w:r w:rsidR="00E94D52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eastAsia="it-IT"/>
          <w14:ligatures w14:val="none"/>
        </w:rPr>
        <w:t xml:space="preserve"> da un’oralità prefabbricata (Romero-Fresco 2009) e da un utilizzo innaturale dei segnali discorsivi (si veda, tra gli altri, Sileo 2017).</w:t>
      </w:r>
    </w:p>
    <w:p w14:paraId="314AFADD" w14:textId="03314ADE" w:rsidR="00E94D52" w:rsidRPr="00E94D52" w:rsidRDefault="00E94D52" w:rsidP="00AB7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</w:pP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La sfida è ancora più ardua nel caso dei </w:t>
      </w:r>
      <w:r w:rsidRPr="00E94D52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lang w:eastAsia="it-IT"/>
          <w14:ligatures w14:val="none"/>
        </w:rPr>
        <w:t>mo</w:t>
      </w:r>
      <w:r w:rsidRPr="001D60AE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lang w:eastAsia="it-IT"/>
          <w14:ligatures w14:val="none"/>
        </w:rPr>
        <w:t>cku</w:t>
      </w:r>
      <w:r w:rsidRPr="00E94D52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lang w:eastAsia="it-IT"/>
          <w14:ligatures w14:val="none"/>
        </w:rPr>
        <w:t>mentaries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, che mescolano una narrativa tipica de</w:t>
      </w:r>
      <w:r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lla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 fiction con tecniche di ripresa </w:t>
      </w:r>
      <w:r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specifiche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 del documentario. In tal senso, il caso di </w:t>
      </w:r>
      <w:proofErr w:type="spellStart"/>
      <w:r w:rsidRPr="001D60AE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lang w:eastAsia="it-IT"/>
          <w14:ligatures w14:val="none"/>
        </w:rPr>
        <w:t>M</w:t>
      </w:r>
      <w:r w:rsidRPr="00E94D52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lang w:eastAsia="it-IT"/>
          <w14:ligatures w14:val="none"/>
        </w:rPr>
        <w:t>odern</w:t>
      </w:r>
      <w:proofErr w:type="spellEnd"/>
      <w:r w:rsidRPr="00E94D52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lang w:eastAsia="it-IT"/>
          <w14:ligatures w14:val="none"/>
        </w:rPr>
        <w:t xml:space="preserve"> </w:t>
      </w:r>
      <w:r w:rsidRPr="001D60AE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lang w:eastAsia="it-IT"/>
          <w14:ligatures w14:val="none"/>
        </w:rPr>
        <w:t>F</w:t>
      </w:r>
      <w:r w:rsidRPr="00E94D52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lang w:eastAsia="it-IT"/>
          <w14:ligatures w14:val="none"/>
        </w:rPr>
        <w:t>amily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 rappresenta un esempio peculiare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, in quanto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 </w:t>
      </w:r>
      <w:proofErr w:type="spellStart"/>
      <w:r w:rsidRPr="00E94D52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lang w:eastAsia="it-IT"/>
          <w14:ligatures w14:val="none"/>
        </w:rPr>
        <w:t>mocu</w:t>
      </w:r>
      <w:proofErr w:type="spellEnd"/>
      <w:r w:rsidRPr="00E94D52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lang w:eastAsia="it-IT"/>
          <w14:ligatures w14:val="none"/>
        </w:rPr>
        <w:t>-reality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 o finto </w:t>
      </w:r>
      <w:r w:rsidRPr="00E94D52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lang w:eastAsia="it-IT"/>
          <w14:ligatures w14:val="none"/>
        </w:rPr>
        <w:t>docu</w:t>
      </w:r>
      <w:r w:rsidRPr="001D60AE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lang w:eastAsia="it-IT"/>
          <w14:ligatures w14:val="none"/>
        </w:rPr>
        <w:t>-</w:t>
      </w:r>
      <w:r w:rsidRPr="00E94D52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lang w:eastAsia="it-IT"/>
          <w14:ligatures w14:val="none"/>
        </w:rPr>
        <w:t>reality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, 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che 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impiega sapientemente il linguaggio visivo tipico del genere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 e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 </w:t>
      </w:r>
      <w:r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risponde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 a</w:t>
      </w:r>
      <w:r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 esigenze più strettamente verbali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. Il risultato è quell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a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 che potremmo definire </w:t>
      </w:r>
      <w:r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“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triplice duplicità</w:t>
      </w:r>
      <w:r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”</w:t>
      </w:r>
      <w:r w:rsidR="001D60AE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 data da: 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spontaneità dei dialoghi, convenzioni tipiche del </w:t>
      </w:r>
      <w:proofErr w:type="spellStart"/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mock</w:t>
      </w:r>
      <w:r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-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umentario</w:t>
      </w:r>
      <w:proofErr w:type="spellEnd"/>
      <w:r w:rsidR="001D60AE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 e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 traduzione interlinguistica. </w:t>
      </w:r>
    </w:p>
    <w:p w14:paraId="2486C1E2" w14:textId="00BF3569" w:rsidR="00E94D52" w:rsidRPr="00E94D52" w:rsidRDefault="00E94D52" w:rsidP="00AB7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</w:pP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Lo scopo di questo paper è fornire un</w:t>
      </w:r>
      <w:r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’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analisi qualitativa sulle scelte effettuate dagli adattatori nell</w:t>
      </w:r>
      <w:r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’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affrontare le complesse sfide della </w:t>
      </w:r>
      <w:r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“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triplice duplicità</w:t>
      </w:r>
      <w:r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”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, concentrando</w:t>
      </w:r>
      <w:r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s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i in particolare sul trasferimento di specifici 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“</w:t>
      </w:r>
      <w:r w:rsidR="002038C4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carriers of</w:t>
      </w:r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 </w:t>
      </w:r>
      <w:proofErr w:type="spellStart"/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oralit</w:t>
      </w:r>
      <w:r w:rsidR="002038C4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y</w:t>
      </w:r>
      <w:proofErr w:type="spellEnd"/>
      <w:r w:rsidR="00EF61C5"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” (Pavesi 2008)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 xml:space="preserve"> dall</w:t>
      </w:r>
      <w:r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’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inglese all</w:t>
      </w:r>
      <w:r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’</w:t>
      </w:r>
      <w:r w:rsidRPr="00E94D52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italiano</w:t>
      </w:r>
      <w:r w:rsidRPr="001D60AE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  <w:t>.</w:t>
      </w:r>
    </w:p>
    <w:p w14:paraId="7731E4DA" w14:textId="6945EABD" w:rsidR="00C12EA5" w:rsidRPr="00C12EA5" w:rsidRDefault="00E94D52" w:rsidP="00E94D52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Parole chiave</w:t>
      </w:r>
      <w:r w:rsidR="00C12EA5" w:rsidRPr="00C12EA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C12EA5" w:rsidRPr="00C12EA5">
        <w:rPr>
          <w:rFonts w:ascii="Times New Roman" w:hAnsi="Times New Roman" w:cs="Times New Roman"/>
          <w:sz w:val="20"/>
          <w:szCs w:val="20"/>
        </w:rPr>
        <w:t xml:space="preserve"> Mediazione orale – TAV – doppiaggio – oralità – </w:t>
      </w:r>
      <w:r w:rsidR="00C12EA5">
        <w:rPr>
          <w:rFonts w:ascii="Times New Roman" w:hAnsi="Times New Roman" w:cs="Times New Roman"/>
          <w:sz w:val="20"/>
          <w:szCs w:val="20"/>
        </w:rPr>
        <w:t>segnali discorsivi</w:t>
      </w:r>
    </w:p>
    <w:p w14:paraId="07DB962F" w14:textId="0E1B403D" w:rsidR="002633EC" w:rsidRPr="00C12EA5" w:rsidRDefault="002633EC" w:rsidP="00C12EA5">
      <w:pPr>
        <w:spacing w:before="24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12EA5">
        <w:rPr>
          <w:rFonts w:ascii="Times New Roman" w:hAnsi="Times New Roman" w:cs="Times New Roman"/>
          <w:b/>
          <w:bCs/>
          <w:sz w:val="20"/>
          <w:szCs w:val="20"/>
          <w:lang w:val="en-US"/>
        </w:rPr>
        <w:t>Author</w:t>
      </w:r>
      <w:r w:rsidR="00E94D52">
        <w:rPr>
          <w:rFonts w:ascii="Times New Roman" w:hAnsi="Times New Roman" w:cs="Times New Roman"/>
          <w:b/>
          <w:bCs/>
          <w:sz w:val="20"/>
          <w:szCs w:val="20"/>
          <w:lang w:val="en-US"/>
        </w:rPr>
        <w:t>’</w:t>
      </w:r>
      <w:r w:rsidRPr="00C12EA5">
        <w:rPr>
          <w:rFonts w:ascii="Times New Roman" w:hAnsi="Times New Roman" w:cs="Times New Roman"/>
          <w:b/>
          <w:bCs/>
          <w:sz w:val="20"/>
          <w:szCs w:val="20"/>
          <w:lang w:val="en-US"/>
        </w:rPr>
        <w:t>s email address:</w:t>
      </w:r>
      <w:r w:rsidRPr="00C12EA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4" w:history="1">
        <w:r w:rsidRPr="00C12EA5">
          <w:rPr>
            <w:rStyle w:val="Collegamentoipertestuale"/>
            <w:rFonts w:ascii="Times New Roman" w:hAnsi="Times New Roman" w:cs="Times New Roman"/>
            <w:sz w:val="20"/>
            <w:szCs w:val="20"/>
            <w:lang w:val="en-US"/>
          </w:rPr>
          <w:t>angela.sileo@unimi.it</w:t>
        </w:r>
      </w:hyperlink>
    </w:p>
    <w:p w14:paraId="0E1D319D" w14:textId="1B9C6BB9" w:rsidR="002633EC" w:rsidRPr="002633EC" w:rsidRDefault="002633EC" w:rsidP="002633EC">
      <w:pPr>
        <w:spacing w:before="240"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2633EC">
        <w:rPr>
          <w:rFonts w:ascii="Times New Roman" w:hAnsi="Times New Roman" w:cs="Times New Roman"/>
          <w:b/>
          <w:bCs/>
          <w:sz w:val="20"/>
          <w:szCs w:val="20"/>
          <w:lang w:val="en-US"/>
        </w:rPr>
        <w:t>Bionote</w:t>
      </w:r>
      <w:proofErr w:type="spellEnd"/>
      <w:r w:rsidRPr="002633EC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Pr="002633E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633EC">
        <w:rPr>
          <w:rFonts w:ascii="Times New Roman" w:hAnsi="Times New Roman" w:cs="Times New Roman"/>
          <w:sz w:val="20"/>
          <w:szCs w:val="20"/>
          <w:lang w:val="en-GB"/>
        </w:rPr>
        <w:t xml:space="preserve">Angela Sileo holds a PhD in </w:t>
      </w:r>
      <w:r w:rsidR="00E94D52">
        <w:rPr>
          <w:rFonts w:ascii="Times New Roman" w:hAnsi="Times New Roman" w:cs="Times New Roman"/>
          <w:sz w:val="20"/>
          <w:szCs w:val="20"/>
          <w:lang w:val="en-GB"/>
        </w:rPr>
        <w:t>“</w:t>
      </w:r>
      <w:r w:rsidRPr="002633EC">
        <w:rPr>
          <w:rFonts w:ascii="Times New Roman" w:hAnsi="Times New Roman" w:cs="Times New Roman"/>
          <w:sz w:val="20"/>
          <w:szCs w:val="20"/>
          <w:lang w:val="en-GB"/>
        </w:rPr>
        <w:t>Humanities</w:t>
      </w:r>
      <w:r w:rsidR="00E94D52">
        <w:rPr>
          <w:rFonts w:ascii="Times New Roman" w:hAnsi="Times New Roman" w:cs="Times New Roman"/>
          <w:sz w:val="20"/>
          <w:szCs w:val="20"/>
          <w:lang w:val="en-GB"/>
        </w:rPr>
        <w:t>”</w:t>
      </w:r>
      <w:r w:rsidRPr="002633EC">
        <w:rPr>
          <w:rFonts w:ascii="Times New Roman" w:hAnsi="Times New Roman" w:cs="Times New Roman"/>
          <w:sz w:val="20"/>
          <w:szCs w:val="20"/>
          <w:lang w:val="en-GB"/>
        </w:rPr>
        <w:t xml:space="preserve"> from Tor </w:t>
      </w:r>
      <w:proofErr w:type="spellStart"/>
      <w:r w:rsidRPr="002633EC">
        <w:rPr>
          <w:rFonts w:ascii="Times New Roman" w:hAnsi="Times New Roman" w:cs="Times New Roman"/>
          <w:sz w:val="20"/>
          <w:szCs w:val="20"/>
          <w:lang w:val="en-GB"/>
        </w:rPr>
        <w:t>Vergata</w:t>
      </w:r>
      <w:proofErr w:type="spellEnd"/>
      <w:r w:rsidRPr="002633EC">
        <w:rPr>
          <w:rFonts w:ascii="Times New Roman" w:hAnsi="Times New Roman" w:cs="Times New Roman"/>
          <w:sz w:val="20"/>
          <w:szCs w:val="20"/>
          <w:lang w:val="en-GB"/>
        </w:rPr>
        <w:t xml:space="preserve"> University (2016), where she taught English Language and Translation both at BA and MA levels, and where she co-founded the Research Group </w:t>
      </w:r>
      <w:proofErr w:type="spellStart"/>
      <w:r w:rsidRPr="002633EC">
        <w:rPr>
          <w:rFonts w:ascii="Times New Roman" w:hAnsi="Times New Roman" w:cs="Times New Roman"/>
          <w:sz w:val="20"/>
          <w:szCs w:val="20"/>
          <w:lang w:val="en-GB"/>
        </w:rPr>
        <w:lastRenderedPageBreak/>
        <w:t>TrAdE</w:t>
      </w:r>
      <w:proofErr w:type="spellEnd"/>
      <w:r w:rsidRPr="002633EC">
        <w:rPr>
          <w:rFonts w:ascii="Times New Roman" w:hAnsi="Times New Roman" w:cs="Times New Roman"/>
          <w:sz w:val="20"/>
          <w:szCs w:val="20"/>
          <w:lang w:val="en-GB"/>
        </w:rPr>
        <w:t xml:space="preserve"> (Translation and Adaptation from/into English) in 2019. She is currently working as a Post-doc Research Fellow at the University of Milan; her research project is focused on the teaching of English and accessibility/inclusivity. She is also teaching English to DHH and hearing students who are training to become LIS and LIST translators and interpreters at the University of Milan – Bicocca.</w:t>
      </w:r>
    </w:p>
    <w:p w14:paraId="33225043" w14:textId="77777777" w:rsidR="00A53756" w:rsidRPr="002633EC" w:rsidRDefault="00A53756">
      <w:pPr>
        <w:rPr>
          <w:lang w:val="en-GB"/>
        </w:rPr>
      </w:pPr>
    </w:p>
    <w:sectPr w:rsidR="00A53756" w:rsidRPr="002633EC" w:rsidSect="002633EC">
      <w:pgSz w:w="11906" w:h="16838"/>
      <w:pgMar w:top="1440" w:right="1440" w:bottom="1440" w:left="144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85"/>
    <w:rsid w:val="001D60AE"/>
    <w:rsid w:val="002038C4"/>
    <w:rsid w:val="00250102"/>
    <w:rsid w:val="002633EC"/>
    <w:rsid w:val="006D0285"/>
    <w:rsid w:val="007908A0"/>
    <w:rsid w:val="00A53756"/>
    <w:rsid w:val="00AB750C"/>
    <w:rsid w:val="00BD7C18"/>
    <w:rsid w:val="00C12EA5"/>
    <w:rsid w:val="00E94D52"/>
    <w:rsid w:val="00E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69A4"/>
  <w15:chartTrackingRefBased/>
  <w15:docId w15:val="{5752E8FD-D352-4657-AC4D-8C0D3541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3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33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ela.sileo@uni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</cp:lastModifiedBy>
  <cp:revision>4</cp:revision>
  <dcterms:created xsi:type="dcterms:W3CDTF">2024-06-30T09:43:00Z</dcterms:created>
  <dcterms:modified xsi:type="dcterms:W3CDTF">2024-06-30T19:14:00Z</dcterms:modified>
</cp:coreProperties>
</file>