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40E2" w14:textId="77777777" w:rsidR="008A6E29" w:rsidRPr="00212187" w:rsidRDefault="008A6E29">
      <w:pPr>
        <w:pBdr>
          <w:top w:val="nil"/>
          <w:left w:val="nil"/>
          <w:bottom w:val="nil"/>
          <w:right w:val="nil"/>
          <w:between w:val="nil"/>
        </w:pBdr>
        <w:ind w:left="170" w:hanging="170"/>
        <w:jc w:val="center"/>
        <w:rPr>
          <w:rFonts w:ascii="Arial" w:eastAsia="Arial" w:hAnsi="Arial" w:cs="Arial"/>
          <w:sz w:val="30"/>
          <w:szCs w:val="30"/>
        </w:rPr>
      </w:pPr>
    </w:p>
    <w:p w14:paraId="2F35007C" w14:textId="77777777" w:rsidR="008A6E29" w:rsidRPr="00212187" w:rsidRDefault="00000000">
      <w:pPr>
        <w:pBdr>
          <w:top w:val="nil"/>
          <w:left w:val="nil"/>
          <w:bottom w:val="nil"/>
          <w:right w:val="nil"/>
          <w:between w:val="nil"/>
        </w:pBdr>
        <w:ind w:left="170" w:hanging="170"/>
        <w:jc w:val="center"/>
        <w:rPr>
          <w:rFonts w:ascii="Arial" w:eastAsia="Arial" w:hAnsi="Arial" w:cs="Arial"/>
          <w:sz w:val="30"/>
          <w:szCs w:val="30"/>
        </w:rPr>
      </w:pPr>
      <w:r w:rsidRPr="00212187">
        <w:rPr>
          <w:rFonts w:ascii="Arial" w:eastAsia="Arial" w:hAnsi="Arial" w:cs="Arial"/>
          <w:b/>
          <w:smallCaps/>
          <w:sz w:val="30"/>
          <w:szCs w:val="30"/>
        </w:rPr>
        <w:t>AURELIO BRANDOLINI A NAPOLI</w:t>
      </w:r>
    </w:p>
    <w:p w14:paraId="1F605B7B" w14:textId="77777777" w:rsidR="008A6E29" w:rsidRPr="00212187" w:rsidRDefault="00000000">
      <w:pPr>
        <w:pBdr>
          <w:top w:val="nil"/>
          <w:left w:val="nil"/>
          <w:bottom w:val="nil"/>
          <w:right w:val="nil"/>
          <w:between w:val="nil"/>
        </w:pBdr>
        <w:ind w:left="170" w:hanging="170"/>
        <w:jc w:val="center"/>
        <w:rPr>
          <w:rFonts w:ascii="Arial" w:eastAsia="Arial" w:hAnsi="Arial" w:cs="Arial"/>
          <w:b/>
          <w:sz w:val="30"/>
          <w:szCs w:val="30"/>
        </w:rPr>
      </w:pPr>
      <w:r w:rsidRPr="00212187">
        <w:rPr>
          <w:rFonts w:ascii="Arial" w:eastAsia="Arial" w:hAnsi="Arial" w:cs="Arial"/>
          <w:b/>
          <w:sz w:val="30"/>
          <w:szCs w:val="30"/>
        </w:rPr>
        <w:t>Le lingue della politica e la politica delle lingue</w:t>
      </w:r>
    </w:p>
    <w:p w14:paraId="4EA24DA2" w14:textId="3C2C600C" w:rsidR="008A6E29" w:rsidRPr="00212187" w:rsidRDefault="00B634C9">
      <w:pPr>
        <w:pBdr>
          <w:top w:val="nil"/>
          <w:left w:val="nil"/>
          <w:bottom w:val="nil"/>
          <w:right w:val="nil"/>
          <w:between w:val="nil"/>
        </w:pBdr>
        <w:ind w:left="170" w:hanging="170"/>
        <w:jc w:val="center"/>
        <w:rPr>
          <w:rFonts w:ascii="Arial" w:eastAsia="Arial" w:hAnsi="Arial" w:cs="Arial"/>
          <w:sz w:val="30"/>
          <w:szCs w:val="30"/>
        </w:rPr>
      </w:pPr>
      <w:r w:rsidRPr="00212187">
        <w:rPr>
          <w:rFonts w:ascii="Arial" w:eastAsia="Arial" w:hAnsi="Arial" w:cs="Arial"/>
          <w:b/>
          <w:sz w:val="30"/>
          <w:szCs w:val="30"/>
        </w:rPr>
        <w:t>nella corte di Ferrante d’Aragona</w:t>
      </w:r>
    </w:p>
    <w:p w14:paraId="4389126C" w14:textId="77777777" w:rsidR="008A6E29" w:rsidRPr="00212187" w:rsidRDefault="008A6E29">
      <w:pPr>
        <w:pBdr>
          <w:top w:val="nil"/>
          <w:left w:val="nil"/>
          <w:bottom w:val="nil"/>
          <w:right w:val="nil"/>
          <w:between w:val="nil"/>
        </w:pBdr>
        <w:ind w:left="170" w:hanging="170"/>
        <w:rPr>
          <w:rFonts w:ascii="Arial" w:eastAsia="Arial" w:hAnsi="Arial" w:cs="Arial"/>
          <w:sz w:val="26"/>
          <w:szCs w:val="26"/>
        </w:rPr>
      </w:pPr>
    </w:p>
    <w:p w14:paraId="7C949984" w14:textId="77777777" w:rsidR="008A6E29" w:rsidRPr="00212187" w:rsidRDefault="00000000">
      <w:pPr>
        <w:pBdr>
          <w:top w:val="nil"/>
          <w:left w:val="nil"/>
          <w:bottom w:val="nil"/>
          <w:right w:val="nil"/>
          <w:between w:val="nil"/>
        </w:pBdr>
        <w:ind w:left="170" w:hanging="170"/>
        <w:jc w:val="center"/>
        <w:rPr>
          <w:rFonts w:ascii="Arial" w:eastAsia="Arial" w:hAnsi="Arial" w:cs="Arial"/>
          <w:sz w:val="26"/>
          <w:szCs w:val="26"/>
        </w:rPr>
      </w:pPr>
      <w:r w:rsidRPr="00212187">
        <w:rPr>
          <w:rFonts w:ascii="Arial" w:eastAsia="Arial" w:hAnsi="Arial" w:cs="Arial"/>
          <w:smallCaps/>
          <w:sz w:val="26"/>
          <w:szCs w:val="26"/>
        </w:rPr>
        <w:t>LUCA RUGGIO</w:t>
      </w:r>
    </w:p>
    <w:p w14:paraId="6BD24673" w14:textId="77777777" w:rsidR="008A6E29" w:rsidRPr="00212187" w:rsidRDefault="00000000">
      <w:pPr>
        <w:pBdr>
          <w:top w:val="nil"/>
          <w:left w:val="nil"/>
          <w:bottom w:val="nil"/>
          <w:right w:val="nil"/>
          <w:between w:val="nil"/>
        </w:pBdr>
        <w:ind w:left="170" w:hanging="170"/>
        <w:jc w:val="center"/>
        <w:rPr>
          <w:rFonts w:ascii="Arial" w:eastAsia="Arial" w:hAnsi="Arial" w:cs="Arial"/>
          <w:sz w:val="22"/>
          <w:szCs w:val="22"/>
          <w:lang w:val="en-GB"/>
        </w:rPr>
      </w:pPr>
      <w:proofErr w:type="spellStart"/>
      <w:r w:rsidRPr="00212187">
        <w:rPr>
          <w:rFonts w:ascii="Arial" w:eastAsia="Arial" w:hAnsi="Arial" w:cs="Arial"/>
          <w:smallCaps/>
          <w:sz w:val="22"/>
          <w:szCs w:val="22"/>
          <w:lang w:val="en-GB"/>
        </w:rPr>
        <w:t>Università</w:t>
      </w:r>
      <w:proofErr w:type="spellEnd"/>
      <w:r w:rsidRPr="00212187">
        <w:rPr>
          <w:rFonts w:ascii="Arial" w:eastAsia="Arial" w:hAnsi="Arial" w:cs="Arial"/>
          <w:smallCaps/>
          <w:sz w:val="22"/>
          <w:szCs w:val="22"/>
          <w:lang w:val="en-GB"/>
        </w:rPr>
        <w:t xml:space="preserve"> del Salento</w:t>
      </w:r>
    </w:p>
    <w:p w14:paraId="7CE5A063" w14:textId="77777777" w:rsidR="008A6E29" w:rsidRPr="00212187" w:rsidRDefault="008A6E29">
      <w:pPr>
        <w:pBdr>
          <w:top w:val="nil"/>
          <w:left w:val="nil"/>
          <w:bottom w:val="nil"/>
          <w:right w:val="nil"/>
          <w:between w:val="nil"/>
        </w:pBdr>
        <w:ind w:left="170" w:hanging="170"/>
        <w:rPr>
          <w:rFonts w:ascii="Arial" w:eastAsia="Arial" w:hAnsi="Arial" w:cs="Arial"/>
          <w:sz w:val="24"/>
          <w:szCs w:val="24"/>
          <w:lang w:val="en-GB"/>
        </w:rPr>
      </w:pPr>
    </w:p>
    <w:p w14:paraId="1046E47D" w14:textId="77777777" w:rsidR="008A6E29" w:rsidRPr="00212187" w:rsidRDefault="008A6E29">
      <w:pPr>
        <w:pBdr>
          <w:top w:val="nil"/>
          <w:left w:val="nil"/>
          <w:bottom w:val="nil"/>
          <w:right w:val="nil"/>
          <w:between w:val="nil"/>
        </w:pBdr>
        <w:ind w:left="170" w:hanging="170"/>
        <w:rPr>
          <w:rFonts w:ascii="Arial" w:eastAsia="Arial" w:hAnsi="Arial" w:cs="Arial"/>
          <w:sz w:val="24"/>
          <w:szCs w:val="24"/>
          <w:lang w:val="en-GB"/>
        </w:rPr>
      </w:pPr>
    </w:p>
    <w:p w14:paraId="0AB83FE4" w14:textId="77777777" w:rsidR="008A6E29" w:rsidRPr="00212187" w:rsidRDefault="00000000">
      <w:pPr>
        <w:pBdr>
          <w:top w:val="nil"/>
          <w:left w:val="nil"/>
          <w:bottom w:val="nil"/>
          <w:right w:val="nil"/>
          <w:between w:val="nil"/>
        </w:pBdr>
        <w:jc w:val="both"/>
        <w:rPr>
          <w:rFonts w:ascii="Times New Roman" w:eastAsia="Times New Roman" w:hAnsi="Times New Roman" w:cs="Times New Roman"/>
          <w:lang w:val="en-GB"/>
        </w:rPr>
      </w:pPr>
      <w:r w:rsidRPr="00212187">
        <w:rPr>
          <w:rFonts w:ascii="Times New Roman" w:eastAsia="Times New Roman" w:hAnsi="Times New Roman" w:cs="Times New Roman"/>
          <w:b/>
          <w:lang w:val="en-GB"/>
        </w:rPr>
        <w:t>Abstract</w:t>
      </w:r>
      <w:r w:rsidRPr="00212187">
        <w:rPr>
          <w:rFonts w:ascii="Times New Roman" w:eastAsia="Times New Roman" w:hAnsi="Times New Roman" w:cs="Times New Roman"/>
          <w:lang w:val="en-GB"/>
        </w:rPr>
        <w:t xml:space="preserve"> – The article reconstructs the biographical events and literary production of the Florentine humanist Aurelio Brandolini during his time in Naples at Ferrante’s court. It then reviews the vernacular translation of Pliny the Younger’s </w:t>
      </w:r>
      <w:r w:rsidRPr="00212187">
        <w:rPr>
          <w:rFonts w:ascii="Times New Roman" w:eastAsia="Times New Roman" w:hAnsi="Times New Roman" w:cs="Times New Roman"/>
          <w:i/>
          <w:lang w:val="en-GB"/>
        </w:rPr>
        <w:t>Panegyric in Praise of Trajan</w:t>
      </w:r>
      <w:r w:rsidRPr="00212187">
        <w:rPr>
          <w:rFonts w:ascii="Times New Roman" w:eastAsia="Times New Roman" w:hAnsi="Times New Roman" w:cs="Times New Roman"/>
          <w:lang w:val="en-GB"/>
        </w:rPr>
        <w:t xml:space="preserve"> and the oration </w:t>
      </w:r>
      <w:r w:rsidRPr="00212187">
        <w:rPr>
          <w:rFonts w:ascii="Times New Roman" w:eastAsia="Times New Roman" w:hAnsi="Times New Roman" w:cs="Times New Roman"/>
          <w:i/>
          <w:lang w:val="en-GB"/>
        </w:rPr>
        <w:t xml:space="preserve">De rei </w:t>
      </w:r>
      <w:proofErr w:type="spellStart"/>
      <w:r w:rsidRPr="00212187">
        <w:rPr>
          <w:rFonts w:ascii="Times New Roman" w:eastAsia="Times New Roman" w:hAnsi="Times New Roman" w:cs="Times New Roman"/>
          <w:i/>
          <w:lang w:val="en-GB"/>
        </w:rPr>
        <w:t>militaris</w:t>
      </w:r>
      <w:proofErr w:type="spellEnd"/>
      <w:r w:rsidRPr="00212187">
        <w:rPr>
          <w:rFonts w:ascii="Times New Roman" w:eastAsia="Times New Roman" w:hAnsi="Times New Roman" w:cs="Times New Roman"/>
          <w:i/>
          <w:lang w:val="en-GB"/>
        </w:rPr>
        <w:t xml:space="preserve"> </w:t>
      </w:r>
      <w:proofErr w:type="spellStart"/>
      <w:r w:rsidRPr="00212187">
        <w:rPr>
          <w:rFonts w:ascii="Times New Roman" w:eastAsia="Times New Roman" w:hAnsi="Times New Roman" w:cs="Times New Roman"/>
          <w:i/>
          <w:lang w:val="en-GB"/>
        </w:rPr>
        <w:t>litterarumque</w:t>
      </w:r>
      <w:proofErr w:type="spellEnd"/>
      <w:r w:rsidRPr="00212187">
        <w:rPr>
          <w:rFonts w:ascii="Times New Roman" w:eastAsia="Times New Roman" w:hAnsi="Times New Roman" w:cs="Times New Roman"/>
          <w:i/>
          <w:lang w:val="en-GB"/>
        </w:rPr>
        <w:t xml:space="preserve"> dignitate, </w:t>
      </w:r>
      <w:proofErr w:type="spellStart"/>
      <w:r w:rsidRPr="00212187">
        <w:rPr>
          <w:rFonts w:ascii="Times New Roman" w:eastAsia="Times New Roman" w:hAnsi="Times New Roman" w:cs="Times New Roman"/>
          <w:i/>
          <w:lang w:val="en-GB"/>
        </w:rPr>
        <w:t>affinitate</w:t>
      </w:r>
      <w:proofErr w:type="spellEnd"/>
      <w:r w:rsidRPr="00212187">
        <w:rPr>
          <w:rFonts w:ascii="Times New Roman" w:eastAsia="Times New Roman" w:hAnsi="Times New Roman" w:cs="Times New Roman"/>
          <w:i/>
          <w:lang w:val="en-GB"/>
        </w:rPr>
        <w:t xml:space="preserve"> et </w:t>
      </w:r>
      <w:proofErr w:type="spellStart"/>
      <w:r w:rsidRPr="00212187">
        <w:rPr>
          <w:rFonts w:ascii="Times New Roman" w:eastAsia="Times New Roman" w:hAnsi="Times New Roman" w:cs="Times New Roman"/>
          <w:i/>
          <w:lang w:val="en-GB"/>
        </w:rPr>
        <w:t>laudibus</w:t>
      </w:r>
      <w:proofErr w:type="spellEnd"/>
      <w:r w:rsidRPr="00212187">
        <w:rPr>
          <w:rFonts w:ascii="Times New Roman" w:eastAsia="Times New Roman" w:hAnsi="Times New Roman" w:cs="Times New Roman"/>
          <w:lang w:val="en-GB"/>
        </w:rPr>
        <w:t xml:space="preserve">, both still unpublished, to reconstruct Brandolini’s tendency to conform to Ferrante’s cultural and linguistic guidelines and the literary tastes of the Neapolitan nobility in the second half of the 15th century. In particular, the translation of the </w:t>
      </w:r>
      <w:r w:rsidRPr="00212187">
        <w:rPr>
          <w:rFonts w:ascii="Times New Roman" w:eastAsia="Times New Roman" w:hAnsi="Times New Roman" w:cs="Times New Roman"/>
          <w:i/>
          <w:lang w:val="en-GB"/>
        </w:rPr>
        <w:t>Panegyric</w:t>
      </w:r>
      <w:r w:rsidRPr="00212187">
        <w:rPr>
          <w:rFonts w:ascii="Times New Roman" w:eastAsia="Times New Roman" w:hAnsi="Times New Roman" w:cs="Times New Roman"/>
          <w:lang w:val="en-GB"/>
        </w:rPr>
        <w:t xml:space="preserve"> reveals Brandolini’s tendency to adhere as much to the idea, already promoted by intellectuals gravitating around Alfonso the Magnanimous, of an ‘imperial destiny’ for the crown of Aragon, as to the proposal to give new dignity to native literary production in the vernacular, while the oration </w:t>
      </w:r>
      <w:r w:rsidRPr="00212187">
        <w:rPr>
          <w:rFonts w:ascii="Times New Roman" w:eastAsia="Times New Roman" w:hAnsi="Times New Roman" w:cs="Times New Roman"/>
          <w:i/>
          <w:lang w:val="en-GB"/>
        </w:rPr>
        <w:t xml:space="preserve">De rei </w:t>
      </w:r>
      <w:proofErr w:type="spellStart"/>
      <w:r w:rsidRPr="00212187">
        <w:rPr>
          <w:rFonts w:ascii="Times New Roman" w:eastAsia="Times New Roman" w:hAnsi="Times New Roman" w:cs="Times New Roman"/>
          <w:i/>
          <w:lang w:val="en-GB"/>
        </w:rPr>
        <w:t>militaris</w:t>
      </w:r>
      <w:proofErr w:type="spellEnd"/>
      <w:r w:rsidRPr="00212187">
        <w:rPr>
          <w:rFonts w:ascii="Times New Roman" w:eastAsia="Times New Roman" w:hAnsi="Times New Roman" w:cs="Times New Roman"/>
          <w:i/>
          <w:lang w:val="en-GB"/>
        </w:rPr>
        <w:t xml:space="preserve"> </w:t>
      </w:r>
      <w:proofErr w:type="spellStart"/>
      <w:r w:rsidRPr="00212187">
        <w:rPr>
          <w:rFonts w:ascii="Times New Roman" w:eastAsia="Times New Roman" w:hAnsi="Times New Roman" w:cs="Times New Roman"/>
          <w:i/>
          <w:lang w:val="en-GB"/>
        </w:rPr>
        <w:t>litterarumque</w:t>
      </w:r>
      <w:proofErr w:type="spellEnd"/>
      <w:r w:rsidRPr="00212187">
        <w:rPr>
          <w:rFonts w:ascii="Times New Roman" w:eastAsia="Times New Roman" w:hAnsi="Times New Roman" w:cs="Times New Roman"/>
          <w:i/>
          <w:lang w:val="en-GB"/>
        </w:rPr>
        <w:t xml:space="preserve"> dignitate</w:t>
      </w:r>
      <w:r w:rsidRPr="00212187">
        <w:rPr>
          <w:rFonts w:ascii="Times New Roman" w:eastAsia="Times New Roman" w:hAnsi="Times New Roman" w:cs="Times New Roman"/>
          <w:lang w:val="en-GB"/>
        </w:rPr>
        <w:t>, which originated as a prologue to the rhetoric course held in Capua by Brandolini himself in 1478-1479, responds to the specific needs of the Neapolitan nobility, oriented towards matching the valour of arms with the splendour of letters.</w:t>
      </w:r>
    </w:p>
    <w:p w14:paraId="5977D54F" w14:textId="77777777" w:rsidR="008A6E29" w:rsidRPr="00212187" w:rsidRDefault="008A6E29">
      <w:pPr>
        <w:pBdr>
          <w:top w:val="nil"/>
          <w:left w:val="nil"/>
          <w:bottom w:val="nil"/>
          <w:right w:val="nil"/>
          <w:between w:val="nil"/>
        </w:pBdr>
        <w:jc w:val="both"/>
        <w:rPr>
          <w:rFonts w:ascii="Times New Roman" w:eastAsia="Times New Roman" w:hAnsi="Times New Roman" w:cs="Times New Roman"/>
          <w:sz w:val="24"/>
          <w:szCs w:val="24"/>
          <w:lang w:val="en-GB"/>
        </w:rPr>
      </w:pPr>
    </w:p>
    <w:p w14:paraId="653F1C7A" w14:textId="77777777" w:rsidR="008A6E29" w:rsidRPr="00212187" w:rsidRDefault="00000000">
      <w:pPr>
        <w:pBdr>
          <w:top w:val="nil"/>
          <w:left w:val="nil"/>
          <w:bottom w:val="nil"/>
          <w:right w:val="nil"/>
          <w:between w:val="nil"/>
        </w:pBdr>
        <w:ind w:left="170" w:hanging="170"/>
        <w:jc w:val="both"/>
        <w:rPr>
          <w:rFonts w:ascii="Times New Roman" w:eastAsia="Times New Roman" w:hAnsi="Times New Roman" w:cs="Times New Roman"/>
          <w:lang w:val="en-GB"/>
        </w:rPr>
      </w:pPr>
      <w:r w:rsidRPr="00212187">
        <w:rPr>
          <w:rFonts w:ascii="Times New Roman" w:eastAsia="Times New Roman" w:hAnsi="Times New Roman" w:cs="Times New Roman"/>
          <w:b/>
          <w:lang w:val="en-GB"/>
        </w:rPr>
        <w:t>Keywords</w:t>
      </w:r>
      <w:r w:rsidRPr="00212187">
        <w:rPr>
          <w:rFonts w:ascii="Times New Roman" w:eastAsia="Times New Roman" w:hAnsi="Times New Roman" w:cs="Times New Roman"/>
          <w:lang w:val="en-GB"/>
        </w:rPr>
        <w:t>: Aurelio Brandolini; Ferrante of Aragon; Kingdom of Naples; Latin-vernacular translations; Arms and Letters.</w:t>
      </w:r>
    </w:p>
    <w:p w14:paraId="413459EC" w14:textId="77777777" w:rsidR="008A6E29" w:rsidRPr="00212187" w:rsidRDefault="008A6E29">
      <w:pPr>
        <w:pBdr>
          <w:top w:val="nil"/>
          <w:left w:val="nil"/>
          <w:bottom w:val="nil"/>
          <w:right w:val="nil"/>
          <w:between w:val="nil"/>
        </w:pBdr>
        <w:jc w:val="both"/>
        <w:rPr>
          <w:rFonts w:ascii="Times New Roman" w:eastAsia="Times New Roman" w:hAnsi="Times New Roman" w:cs="Times New Roman"/>
          <w:sz w:val="24"/>
          <w:szCs w:val="24"/>
          <w:lang w:val="en-GB"/>
        </w:rPr>
      </w:pPr>
    </w:p>
    <w:p w14:paraId="0786673B" w14:textId="77777777" w:rsidR="008A6E29" w:rsidRPr="006931BD" w:rsidRDefault="008A6E29" w:rsidP="006931BD">
      <w:pPr>
        <w:pBdr>
          <w:top w:val="nil"/>
          <w:left w:val="nil"/>
          <w:bottom w:val="nil"/>
          <w:right w:val="nil"/>
          <w:between w:val="nil"/>
        </w:pBdr>
        <w:jc w:val="both"/>
        <w:rPr>
          <w:rFonts w:ascii="Times New Roman" w:eastAsia="Times New Roman" w:hAnsi="Times New Roman" w:cs="Times New Roman"/>
          <w:sz w:val="24"/>
          <w:szCs w:val="24"/>
          <w:lang w:val="en-GB"/>
        </w:rPr>
      </w:pPr>
    </w:p>
    <w:p w14:paraId="4A32E400" w14:textId="77777777" w:rsidR="008A6E29" w:rsidRPr="00212187" w:rsidRDefault="00000000">
      <w:pPr>
        <w:pBdr>
          <w:top w:val="nil"/>
          <w:left w:val="nil"/>
          <w:bottom w:val="nil"/>
          <w:right w:val="nil"/>
          <w:between w:val="nil"/>
        </w:pBdr>
        <w:jc w:val="both"/>
        <w:rPr>
          <w:rFonts w:ascii="Times New Roman" w:eastAsia="Times New Roman" w:hAnsi="Times New Roman" w:cs="Times New Roman"/>
          <w:highlight w:val="yellow"/>
        </w:rPr>
      </w:pPr>
      <w:proofErr w:type="spellStart"/>
      <w:r w:rsidRPr="00212187">
        <w:rPr>
          <w:rFonts w:ascii="Times New Roman" w:eastAsia="Times New Roman" w:hAnsi="Times New Roman" w:cs="Times New Roman"/>
          <w:b/>
        </w:rPr>
        <w:t>Bionota</w:t>
      </w:r>
      <w:proofErr w:type="spellEnd"/>
      <w:r w:rsidRPr="00212187">
        <w:rPr>
          <w:rFonts w:ascii="Times New Roman" w:eastAsia="Times New Roman" w:hAnsi="Times New Roman" w:cs="Times New Roman"/>
        </w:rPr>
        <w:t>: Luca Ruggio è ricercatore di Letteratura latina medievale e umanistica presso l’Università del Salento. Si occupa di teatro umanistico, epistolografia, geografia e odeporica mediolatina e letteratura della Puglia aragonese, con particolare attenzione alla tradizione manoscritta e agli aspetti filologici delle opere. Ha pubblicato edizioni critiche di commedie (</w:t>
      </w:r>
      <w:r w:rsidRPr="00212187">
        <w:rPr>
          <w:rFonts w:ascii="Times New Roman" w:eastAsia="Times New Roman" w:hAnsi="Times New Roman" w:cs="Times New Roman"/>
          <w:i/>
        </w:rPr>
        <w:t>Epirota</w:t>
      </w:r>
      <w:r w:rsidRPr="00212187">
        <w:rPr>
          <w:rFonts w:ascii="Times New Roman" w:eastAsia="Times New Roman" w:hAnsi="Times New Roman" w:cs="Times New Roman"/>
        </w:rPr>
        <w:t xml:space="preserve"> di Tommaso de Mezzo e </w:t>
      </w:r>
      <w:proofErr w:type="spellStart"/>
      <w:r w:rsidRPr="00212187">
        <w:rPr>
          <w:rFonts w:ascii="Times New Roman" w:eastAsia="Times New Roman" w:hAnsi="Times New Roman" w:cs="Times New Roman"/>
          <w:i/>
        </w:rPr>
        <w:t>Scornetta</w:t>
      </w:r>
      <w:proofErr w:type="spellEnd"/>
      <w:r w:rsidRPr="00212187">
        <w:rPr>
          <w:rFonts w:ascii="Times New Roman" w:eastAsia="Times New Roman" w:hAnsi="Times New Roman" w:cs="Times New Roman"/>
        </w:rPr>
        <w:t xml:space="preserve"> di Hermann </w:t>
      </w:r>
      <w:proofErr w:type="spellStart"/>
      <w:r w:rsidRPr="00212187">
        <w:rPr>
          <w:rFonts w:ascii="Times New Roman" w:eastAsia="Times New Roman" w:hAnsi="Times New Roman" w:cs="Times New Roman"/>
        </w:rPr>
        <w:t>Knuyt</w:t>
      </w:r>
      <w:proofErr w:type="spellEnd"/>
      <w:r w:rsidRPr="00212187">
        <w:rPr>
          <w:rFonts w:ascii="Times New Roman" w:eastAsia="Times New Roman" w:hAnsi="Times New Roman" w:cs="Times New Roman"/>
        </w:rPr>
        <w:t xml:space="preserve"> van </w:t>
      </w:r>
      <w:proofErr w:type="spellStart"/>
      <w:r w:rsidRPr="00212187">
        <w:rPr>
          <w:rFonts w:ascii="Times New Roman" w:eastAsia="Times New Roman" w:hAnsi="Times New Roman" w:cs="Times New Roman"/>
        </w:rPr>
        <w:t>Slyterhoven</w:t>
      </w:r>
      <w:proofErr w:type="spellEnd"/>
      <w:r w:rsidRPr="00212187">
        <w:rPr>
          <w:rFonts w:ascii="Times New Roman" w:eastAsia="Times New Roman" w:hAnsi="Times New Roman" w:cs="Times New Roman"/>
        </w:rPr>
        <w:t>) e di testi geografici (</w:t>
      </w:r>
      <w:r w:rsidRPr="00212187">
        <w:rPr>
          <w:rFonts w:ascii="Times New Roman" w:eastAsia="Times New Roman" w:hAnsi="Times New Roman" w:cs="Times New Roman"/>
          <w:i/>
        </w:rPr>
        <w:t xml:space="preserve">De situ </w:t>
      </w:r>
      <w:proofErr w:type="spellStart"/>
      <w:r w:rsidRPr="00212187">
        <w:rPr>
          <w:rFonts w:ascii="Times New Roman" w:eastAsia="Times New Roman" w:hAnsi="Times New Roman" w:cs="Times New Roman"/>
          <w:i/>
        </w:rPr>
        <w:t>urbis</w:t>
      </w:r>
      <w:proofErr w:type="spellEnd"/>
      <w:r w:rsidRPr="00212187">
        <w:rPr>
          <w:rFonts w:ascii="Times New Roman" w:eastAsia="Times New Roman" w:hAnsi="Times New Roman" w:cs="Times New Roman"/>
          <w:i/>
        </w:rPr>
        <w:t xml:space="preserve"> </w:t>
      </w:r>
      <w:proofErr w:type="spellStart"/>
      <w:r w:rsidRPr="00212187">
        <w:rPr>
          <w:rFonts w:ascii="Times New Roman" w:eastAsia="Times New Roman" w:hAnsi="Times New Roman" w:cs="Times New Roman"/>
          <w:i/>
        </w:rPr>
        <w:t>Iustinopolitane</w:t>
      </w:r>
      <w:proofErr w:type="spellEnd"/>
      <w:r w:rsidRPr="00212187">
        <w:rPr>
          <w:rFonts w:ascii="Times New Roman" w:eastAsia="Times New Roman" w:hAnsi="Times New Roman" w:cs="Times New Roman"/>
        </w:rPr>
        <w:t xml:space="preserve"> di Pier Paolo Vergerio e</w:t>
      </w:r>
      <w:r w:rsidRPr="00212187">
        <w:rPr>
          <w:rFonts w:ascii="Times New Roman" w:eastAsia="Times New Roman" w:hAnsi="Times New Roman" w:cs="Times New Roman"/>
          <w:i/>
        </w:rPr>
        <w:t xml:space="preserve"> De </w:t>
      </w:r>
      <w:proofErr w:type="spellStart"/>
      <w:r w:rsidRPr="00212187">
        <w:rPr>
          <w:rFonts w:ascii="Times New Roman" w:eastAsia="Times New Roman" w:hAnsi="Times New Roman" w:cs="Times New Roman"/>
          <w:i/>
        </w:rPr>
        <w:t>Hierosolymitana</w:t>
      </w:r>
      <w:proofErr w:type="spellEnd"/>
      <w:r w:rsidRPr="00212187">
        <w:rPr>
          <w:rFonts w:ascii="Times New Roman" w:eastAsia="Times New Roman" w:hAnsi="Times New Roman" w:cs="Times New Roman"/>
          <w:i/>
        </w:rPr>
        <w:t xml:space="preserve"> </w:t>
      </w:r>
      <w:proofErr w:type="spellStart"/>
      <w:r w:rsidRPr="00212187">
        <w:rPr>
          <w:rFonts w:ascii="Times New Roman" w:eastAsia="Times New Roman" w:hAnsi="Times New Roman" w:cs="Times New Roman"/>
          <w:i/>
        </w:rPr>
        <w:t>peregrinatione</w:t>
      </w:r>
      <w:proofErr w:type="spellEnd"/>
      <w:r w:rsidRPr="00212187">
        <w:rPr>
          <w:rFonts w:ascii="Times New Roman" w:eastAsia="Times New Roman" w:hAnsi="Times New Roman" w:cs="Times New Roman"/>
        </w:rPr>
        <w:t xml:space="preserve"> di Antonio Galateo), monografie sulla lingua e sul lessico della commedia umanistica (</w:t>
      </w:r>
      <w:r w:rsidRPr="00212187">
        <w:rPr>
          <w:rFonts w:ascii="Times New Roman" w:eastAsia="Times New Roman" w:hAnsi="Times New Roman" w:cs="Times New Roman"/>
          <w:i/>
        </w:rPr>
        <w:t>Alla maniera dei comici. Aspetti del comico nella commedia umanistica</w:t>
      </w:r>
      <w:r w:rsidRPr="00212187">
        <w:rPr>
          <w:rFonts w:ascii="Times New Roman" w:eastAsia="Times New Roman" w:hAnsi="Times New Roman" w:cs="Times New Roman"/>
        </w:rPr>
        <w:t>) e studi specifici su temi, opere e autori del Tre e Quattrocento (Gian Mario Filelfo, Angelo Poliziano, Domenico Crispo).</w:t>
      </w:r>
    </w:p>
    <w:p w14:paraId="1D61BC3A" w14:textId="77777777" w:rsidR="008A6E29" w:rsidRPr="00212187" w:rsidRDefault="008A6E29">
      <w:pPr>
        <w:pBdr>
          <w:top w:val="nil"/>
          <w:left w:val="nil"/>
          <w:bottom w:val="nil"/>
          <w:right w:val="nil"/>
          <w:between w:val="nil"/>
        </w:pBdr>
        <w:jc w:val="both"/>
        <w:rPr>
          <w:rFonts w:ascii="Times New Roman" w:eastAsia="Times New Roman" w:hAnsi="Times New Roman" w:cs="Times New Roman"/>
        </w:rPr>
      </w:pPr>
    </w:p>
    <w:p w14:paraId="497EC9F2" w14:textId="77777777" w:rsidR="008A6E29" w:rsidRDefault="00000000">
      <w:pPr>
        <w:pBdr>
          <w:top w:val="nil"/>
          <w:left w:val="nil"/>
          <w:bottom w:val="nil"/>
          <w:right w:val="nil"/>
          <w:between w:val="nil"/>
        </w:pBdr>
        <w:jc w:val="both"/>
        <w:rPr>
          <w:rFonts w:ascii="Times New Roman" w:eastAsia="Times New Roman" w:hAnsi="Times New Roman" w:cs="Times New Roman"/>
          <w:u w:val="single"/>
        </w:rPr>
      </w:pPr>
      <w:r w:rsidRPr="00212187">
        <w:rPr>
          <w:rFonts w:ascii="Times New Roman" w:eastAsia="Times New Roman" w:hAnsi="Times New Roman" w:cs="Times New Roman"/>
          <w:b/>
        </w:rPr>
        <w:t>Recapito autore</w:t>
      </w:r>
      <w:r w:rsidRPr="00212187">
        <w:rPr>
          <w:rFonts w:ascii="Times New Roman" w:eastAsia="Times New Roman" w:hAnsi="Times New Roman" w:cs="Times New Roman"/>
        </w:rPr>
        <w:t xml:space="preserve">: </w:t>
      </w:r>
      <w:hyperlink r:id="rId6">
        <w:r w:rsidRPr="00212187">
          <w:rPr>
            <w:rFonts w:ascii="Times New Roman" w:eastAsia="Times New Roman" w:hAnsi="Times New Roman" w:cs="Times New Roman"/>
            <w:u w:val="single"/>
          </w:rPr>
          <w:t>luca.ruggio@unisalento.it</w:t>
        </w:r>
      </w:hyperlink>
    </w:p>
    <w:p w14:paraId="07EEF0D8" w14:textId="77777777" w:rsidR="006931BD" w:rsidRPr="00212187" w:rsidRDefault="006931BD">
      <w:pPr>
        <w:pBdr>
          <w:top w:val="nil"/>
          <w:left w:val="nil"/>
          <w:bottom w:val="nil"/>
          <w:right w:val="nil"/>
          <w:between w:val="nil"/>
        </w:pBdr>
        <w:jc w:val="both"/>
        <w:rPr>
          <w:rFonts w:ascii="Times New Roman" w:eastAsia="Times New Roman" w:hAnsi="Times New Roman" w:cs="Times New Roman"/>
        </w:rPr>
      </w:pPr>
    </w:p>
    <w:p w14:paraId="50112024" w14:textId="0E4469FC" w:rsidR="008A6E29" w:rsidRPr="00212187" w:rsidRDefault="008A6E29" w:rsidP="006931BD">
      <w:pPr>
        <w:widowControl w:val="0"/>
        <w:pBdr>
          <w:top w:val="nil"/>
          <w:left w:val="nil"/>
          <w:bottom w:val="nil"/>
          <w:right w:val="nil"/>
          <w:between w:val="nil"/>
        </w:pBdr>
        <w:jc w:val="both"/>
        <w:rPr>
          <w:rFonts w:ascii="Times New Roman" w:eastAsia="Times New Roman" w:hAnsi="Times New Roman" w:cs="Times New Roman"/>
          <w:lang w:val="en-GB"/>
        </w:rPr>
      </w:pPr>
    </w:p>
    <w:sectPr w:rsidR="008A6E29" w:rsidRPr="00212187">
      <w:headerReference w:type="even" r:id="rId7"/>
      <w:headerReference w:type="default" r:id="rId8"/>
      <w:footerReference w:type="even" r:id="rId9"/>
      <w:footerReference w:type="default" r:id="rId10"/>
      <w:headerReference w:type="first" r:id="rId11"/>
      <w:footerReference w:type="first" r:id="rId12"/>
      <w:pgSz w:w="11907" w:h="16840"/>
      <w:pgMar w:top="1440" w:right="1440" w:bottom="1440" w:left="1440" w:header="851" w:footer="851" w:gutter="0"/>
      <w:pgNumType w:start="7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44CA4" w14:textId="77777777" w:rsidR="00962425" w:rsidRDefault="00962425">
      <w:r>
        <w:separator/>
      </w:r>
    </w:p>
  </w:endnote>
  <w:endnote w:type="continuationSeparator" w:id="0">
    <w:p w14:paraId="074E77A8" w14:textId="77777777" w:rsidR="00962425" w:rsidRDefault="0096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5EDC" w14:textId="77777777" w:rsidR="008A6E29" w:rsidRDefault="00000000">
    <w:pPr>
      <w:pBdr>
        <w:top w:val="nil"/>
        <w:left w:val="nil"/>
        <w:bottom w:val="nil"/>
        <w:right w:val="nil"/>
        <w:between w:val="nil"/>
      </w:pBdr>
      <w:tabs>
        <w:tab w:val="center" w:pos="4320"/>
        <w:tab w:val="right" w:pos="8640"/>
        <w:tab w:val="left" w:pos="1252"/>
      </w:tabs>
      <w:ind w:left="170" w:hanging="170"/>
      <w:rPr>
        <w:rFonts w:ascii="Times New Roman" w:eastAsia="Times New Roman" w:hAnsi="Times New Roman" w:cs="Times New Roman"/>
        <w:color w:val="000000"/>
        <w:sz w:val="24"/>
        <w:szCs w:val="24"/>
      </w:rPr>
    </w:pPr>
    <w:r>
      <w:rPr>
        <w:noProof/>
      </w:rPr>
      <w:drawing>
        <wp:anchor distT="0" distB="0" distL="114300" distR="114300" simplePos="0" relativeHeight="251662336" behindDoc="0" locked="0" layoutInCell="1" hidden="0" allowOverlap="1" wp14:anchorId="27D21CCA" wp14:editId="42A737E4">
          <wp:simplePos x="0" y="0"/>
          <wp:positionH relativeFrom="column">
            <wp:posOffset>2451735</wp:posOffset>
          </wp:positionH>
          <wp:positionV relativeFrom="paragraph">
            <wp:posOffset>-206999</wp:posOffset>
          </wp:positionV>
          <wp:extent cx="683895" cy="49403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83895" cy="49403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884D" w14:textId="77777777" w:rsidR="008A6E29" w:rsidRDefault="00000000">
    <w:pPr>
      <w:pBdr>
        <w:top w:val="nil"/>
        <w:left w:val="nil"/>
        <w:bottom w:val="nil"/>
        <w:right w:val="nil"/>
        <w:between w:val="nil"/>
      </w:pBdr>
      <w:tabs>
        <w:tab w:val="center" w:pos="4320"/>
        <w:tab w:val="right" w:pos="8640"/>
      </w:tabs>
      <w:ind w:left="170" w:hanging="170"/>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2417FCBF" wp14:editId="4747F9D6">
          <wp:simplePos x="0" y="0"/>
          <wp:positionH relativeFrom="column">
            <wp:posOffset>2404745</wp:posOffset>
          </wp:positionH>
          <wp:positionV relativeFrom="paragraph">
            <wp:posOffset>-189856</wp:posOffset>
          </wp:positionV>
          <wp:extent cx="676910" cy="489585"/>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6910" cy="48958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ACC8" w14:textId="77777777" w:rsidR="008A6E29" w:rsidRDefault="00000000">
    <w:pPr>
      <w:pBdr>
        <w:top w:val="nil"/>
        <w:left w:val="nil"/>
        <w:bottom w:val="nil"/>
        <w:right w:val="nil"/>
        <w:between w:val="nil"/>
      </w:pBdr>
      <w:tabs>
        <w:tab w:val="center" w:pos="4320"/>
        <w:tab w:val="right" w:pos="8640"/>
      </w:tabs>
      <w:ind w:left="170" w:hanging="170"/>
      <w:rPr>
        <w:rFonts w:ascii="Times New Roman" w:eastAsia="Times New Roman" w:hAnsi="Times New Roman" w:cs="Times New Roman"/>
        <w:color w:val="000000"/>
        <w:sz w:val="24"/>
        <w:szCs w:val="24"/>
      </w:rPr>
    </w:pPr>
    <w:r>
      <w:rPr>
        <w:noProof/>
      </w:rPr>
      <w:drawing>
        <wp:anchor distT="0" distB="0" distL="114300" distR="114300" simplePos="0" relativeHeight="251661312" behindDoc="0" locked="0" layoutInCell="1" hidden="0" allowOverlap="1" wp14:anchorId="2F486767" wp14:editId="07B39A09">
          <wp:simplePos x="0" y="0"/>
          <wp:positionH relativeFrom="column">
            <wp:posOffset>2460625</wp:posOffset>
          </wp:positionH>
          <wp:positionV relativeFrom="paragraph">
            <wp:posOffset>-200016</wp:posOffset>
          </wp:positionV>
          <wp:extent cx="676910" cy="489585"/>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6910" cy="48958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87423" w14:textId="77777777" w:rsidR="00962425" w:rsidRDefault="00962425">
      <w:r>
        <w:separator/>
      </w:r>
    </w:p>
  </w:footnote>
  <w:footnote w:type="continuationSeparator" w:id="0">
    <w:p w14:paraId="3881AF67" w14:textId="77777777" w:rsidR="00962425" w:rsidRDefault="0096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468F" w14:textId="77777777" w:rsidR="008A6E29" w:rsidRDefault="00000000">
    <w:pPr>
      <w:pBdr>
        <w:top w:val="nil"/>
        <w:left w:val="nil"/>
        <w:bottom w:val="nil"/>
        <w:right w:val="nil"/>
        <w:between w:val="nil"/>
      </w:pBdr>
      <w:tabs>
        <w:tab w:val="center" w:pos="4320"/>
        <w:tab w:val="right" w:pos="8640"/>
      </w:tabs>
      <w:rPr>
        <w:rFonts w:ascii="Arial" w:eastAsia="Arial" w:hAnsi="Arial" w:cs="Arial"/>
        <w:color w:val="000000"/>
        <w:sz w:val="18"/>
        <w:szCs w:val="18"/>
      </w:rPr>
    </w:pPr>
    <w:r>
      <w:rPr>
        <w:rFonts w:ascii="Arial" w:eastAsia="Arial" w:hAnsi="Arial" w:cs="Arial"/>
        <w:color w:val="000000"/>
        <w:sz w:val="18"/>
        <w:szCs w:val="18"/>
      </w:rPr>
      <w:t>x</w:t>
    </w:r>
    <w:r>
      <w:rPr>
        <w:noProof/>
      </w:rPr>
      <mc:AlternateContent>
        <mc:Choice Requires="wps">
          <w:drawing>
            <wp:anchor distT="0" distB="0" distL="114300" distR="114300" simplePos="0" relativeHeight="251659264" behindDoc="0" locked="0" layoutInCell="1" hidden="0" allowOverlap="1" wp14:anchorId="6F3250FE" wp14:editId="785A2498">
              <wp:simplePos x="0" y="0"/>
              <wp:positionH relativeFrom="column">
                <wp:posOffset>3848100</wp:posOffset>
              </wp:positionH>
              <wp:positionV relativeFrom="paragraph">
                <wp:posOffset>0</wp:posOffset>
              </wp:positionV>
              <wp:extent cx="1804670" cy="262255"/>
              <wp:effectExtent l="0" t="0" r="0" b="0"/>
              <wp:wrapSquare wrapText="bothSides" distT="0" distB="0" distL="114300" distR="114300"/>
              <wp:docPr id="1" name="Rettangolo 1"/>
              <wp:cNvGraphicFramePr/>
              <a:graphic xmlns:a="http://schemas.openxmlformats.org/drawingml/2006/main">
                <a:graphicData uri="http://schemas.microsoft.com/office/word/2010/wordprocessingShape">
                  <wps:wsp>
                    <wps:cNvSpPr/>
                    <wps:spPr>
                      <a:xfrm>
                        <a:off x="0" y="0"/>
                        <a:ext cx="1804670" cy="262255"/>
                      </a:xfrm>
                      <a:prstGeom prst="rect">
                        <a:avLst/>
                      </a:prstGeom>
                      <a:solidFill>
                        <a:srgbClr val="FFFFFF"/>
                      </a:solidFill>
                      <a:ln>
                        <a:noFill/>
                      </a:ln>
                    </wps:spPr>
                    <wps:txbx>
                      <w:txbxContent>
                        <w:p w14:paraId="083F1640" w14:textId="77777777" w:rsidR="00F03CBF" w:rsidRDefault="00000000">
                          <w:pPr>
                            <w:jc w:val="right"/>
                            <w:textDirection w:val="btLr"/>
                          </w:pPr>
                          <w:r>
                            <w:rPr>
                              <w:rFonts w:ascii="Arial" w:eastAsia="Arial" w:hAnsi="Arial" w:cs="Arial"/>
                              <w:color w:val="000000"/>
                              <w:sz w:val="18"/>
                            </w:rPr>
                            <w:t>LUCA RUGGIO</w:t>
                          </w:r>
                        </w:p>
                        <w:p w14:paraId="77454A12" w14:textId="77777777" w:rsidR="00F03CBF" w:rsidRDefault="00F03CBF">
                          <w:pPr>
                            <w:textDirection w:val="btLr"/>
                          </w:pPr>
                        </w:p>
                      </w:txbxContent>
                    </wps:txbx>
                    <wps:bodyPr spcFirstLastPara="1" wrap="square" lIns="91425" tIns="45700" rIns="91425" bIns="45700" anchor="t" anchorCtr="0">
                      <a:noAutofit/>
                    </wps:bodyPr>
                  </wps:wsp>
                </a:graphicData>
              </a:graphic>
            </wp:anchor>
          </w:drawing>
        </mc:Choice>
        <mc:Fallback>
          <w:pict>
            <v:rect w14:anchorId="6F3250FE" id="Rettangolo 1" o:spid="_x0000_s1026" style="position:absolute;margin-left:303pt;margin-top:0;width:142.1pt;height:20.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" stroked="f">
              <v:textbox inset="2.53958mm,1.2694mm,2.53958mm,1.2694mm">
                <w:txbxContent>
                  <w:p w14:paraId="083F1640" w14:textId="77777777" w:rsidR="00F03CBF" w:rsidRDefault="00000000">
                    <w:pPr>
                      <w:jc w:val="right"/>
                      <w:textDirection w:val="btLr"/>
                    </w:pPr>
                    <w:r>
                      <w:rPr>
                        <w:rFonts w:ascii="Arial" w:eastAsia="Arial" w:hAnsi="Arial" w:cs="Arial"/>
                        <w:color w:val="000000"/>
                        <w:sz w:val="18"/>
                      </w:rPr>
                      <w:t>LUCA RUGGIO</w:t>
                    </w:r>
                  </w:p>
                  <w:p w14:paraId="77454A12" w14:textId="77777777" w:rsidR="00F03CBF" w:rsidRDefault="00F03CBF">
                    <w:pPr>
                      <w:textDirection w:val="btLr"/>
                    </w:pPr>
                  </w:p>
                </w:txbxContent>
              </v:textbox>
              <w10:wrap type="square"/>
            </v:rect>
          </w:pict>
        </mc:Fallback>
      </mc:AlternateContent>
    </w:r>
  </w:p>
  <w:p w14:paraId="722CC85E" w14:textId="77777777" w:rsidR="008A6E29" w:rsidRDefault="008A6E29">
    <w:pPr>
      <w:pBdr>
        <w:top w:val="nil"/>
        <w:left w:val="nil"/>
        <w:bottom w:val="nil"/>
        <w:right w:val="nil"/>
        <w:between w:val="nil"/>
      </w:pBdr>
      <w:tabs>
        <w:tab w:val="center" w:pos="4320"/>
        <w:tab w:val="right" w:pos="8640"/>
      </w:tabs>
      <w:ind w:left="170" w:hanging="170"/>
      <w:rPr>
        <w:rFonts w:ascii="Times New Roman" w:eastAsia="Times New Roman" w:hAnsi="Times New Roman" w:cs="Times New Roman"/>
        <w:color w:val="000000"/>
        <w:sz w:val="24"/>
        <w:szCs w:val="24"/>
      </w:rPr>
    </w:pPr>
  </w:p>
  <w:p w14:paraId="3B0FB80F" w14:textId="77777777" w:rsidR="008A6E29" w:rsidRDefault="008A6E29">
    <w:pPr>
      <w:pBdr>
        <w:top w:val="nil"/>
        <w:left w:val="nil"/>
        <w:bottom w:val="nil"/>
        <w:right w:val="nil"/>
        <w:between w:val="nil"/>
      </w:pBdr>
      <w:ind w:left="170" w:hanging="17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9497" w14:textId="77777777" w:rsidR="008A6E29" w:rsidRDefault="00000000">
    <w:pPr>
      <w:pBdr>
        <w:top w:val="nil"/>
        <w:left w:val="nil"/>
        <w:bottom w:val="nil"/>
        <w:right w:val="nil"/>
        <w:between w:val="nil"/>
      </w:pBdr>
      <w:tabs>
        <w:tab w:val="center" w:pos="4320"/>
        <w:tab w:val="right" w:pos="8640"/>
      </w:tabs>
      <w:ind w:left="170" w:hanging="170"/>
      <w:jc w:val="right"/>
      <w:rPr>
        <w:rFonts w:ascii="Arial" w:eastAsia="Arial" w:hAnsi="Arial" w:cs="Arial"/>
        <w:color w:val="000000"/>
        <w:sz w:val="18"/>
        <w:szCs w:val="18"/>
      </w:rPr>
    </w:pPr>
    <w:r>
      <w:rPr>
        <w:rFonts w:ascii="Arial" w:eastAsia="Arial" w:hAnsi="Arial" w:cs="Arial"/>
        <w:color w:val="000000"/>
        <w:sz w:val="18"/>
        <w:szCs w:val="18"/>
      </w:rPr>
      <w:t>x</w:t>
    </w:r>
    <w:r>
      <w:rPr>
        <w:noProof/>
      </w:rPr>
      <mc:AlternateContent>
        <mc:Choice Requires="wps">
          <w:drawing>
            <wp:anchor distT="0" distB="0" distL="114300" distR="114300" simplePos="0" relativeHeight="251658240" behindDoc="0" locked="0" layoutInCell="1" hidden="0" allowOverlap="1" wp14:anchorId="353AD308" wp14:editId="2CBE9E78">
              <wp:simplePos x="0" y="0"/>
              <wp:positionH relativeFrom="column">
                <wp:posOffset>-114295</wp:posOffset>
              </wp:positionH>
              <wp:positionV relativeFrom="paragraph">
                <wp:posOffset>0</wp:posOffset>
              </wp:positionV>
              <wp:extent cx="5306695" cy="246380"/>
              <wp:effectExtent l="0" t="0" r="0" b="0"/>
              <wp:wrapNone/>
              <wp:docPr id="2" name="Rettangolo 2"/>
              <wp:cNvGraphicFramePr/>
              <a:graphic xmlns:a="http://schemas.openxmlformats.org/drawingml/2006/main">
                <a:graphicData uri="http://schemas.microsoft.com/office/word/2010/wordprocessingShape">
                  <wps:wsp>
                    <wps:cNvSpPr/>
                    <wps:spPr>
                      <a:xfrm>
                        <a:off x="0" y="0"/>
                        <a:ext cx="5306695" cy="246380"/>
                      </a:xfrm>
                      <a:prstGeom prst="rect">
                        <a:avLst/>
                      </a:prstGeom>
                      <a:solidFill>
                        <a:srgbClr val="FFFFFF"/>
                      </a:solidFill>
                      <a:ln>
                        <a:noFill/>
                      </a:ln>
                    </wps:spPr>
                    <wps:txbx>
                      <w:txbxContent>
                        <w:p w14:paraId="43DEBC50" w14:textId="25B2F84D" w:rsidR="00F03CBF" w:rsidRDefault="00000000">
                          <w:pPr>
                            <w:textDirection w:val="btLr"/>
                          </w:pPr>
                          <w:r>
                            <w:rPr>
                              <w:rFonts w:ascii="Arial" w:eastAsia="Arial" w:hAnsi="Arial" w:cs="Arial"/>
                              <w:color w:val="000000"/>
                              <w:sz w:val="18"/>
                            </w:rPr>
                            <w:t xml:space="preserve">Aurelio Brandolini a Napoli. Le lingue della politica e la politica delle lingue </w:t>
                          </w:r>
                          <w:r w:rsidR="00B634C9">
                            <w:rPr>
                              <w:rFonts w:ascii="Arial" w:eastAsia="Arial" w:hAnsi="Arial" w:cs="Arial"/>
                              <w:color w:val="000000"/>
                              <w:sz w:val="18"/>
                            </w:rPr>
                            <w:t>nella</w:t>
                          </w:r>
                          <w:r>
                            <w:rPr>
                              <w:rFonts w:ascii="Arial" w:eastAsia="Arial" w:hAnsi="Arial" w:cs="Arial"/>
                              <w:color w:val="000000"/>
                              <w:sz w:val="18"/>
                            </w:rPr>
                            <w:t xml:space="preserve"> corte di Ferrante d’Aragona</w:t>
                          </w:r>
                        </w:p>
                        <w:p w14:paraId="52EB1ACD" w14:textId="77777777" w:rsidR="00F03CBF" w:rsidRDefault="00F03CBF">
                          <w:pPr>
                            <w:textDirection w:val="btLr"/>
                          </w:pPr>
                        </w:p>
                      </w:txbxContent>
                    </wps:txbx>
                    <wps:bodyPr spcFirstLastPara="1" wrap="square" lIns="91425" tIns="45700" rIns="91425" bIns="45700" anchor="t" anchorCtr="0">
                      <a:noAutofit/>
                    </wps:bodyPr>
                  </wps:wsp>
                </a:graphicData>
              </a:graphic>
            </wp:anchor>
          </w:drawing>
        </mc:Choice>
        <mc:Fallback>
          <w:pict>
            <v:rect w14:anchorId="353AD308" id="Rettangolo 2" o:spid="_x0000_s1027" style="position:absolute;left:0;text-align:left;margin-left:-9pt;margin-top:0;width:417.85pt;height:19.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" stroked="f">
              <v:textbox inset="2.53958mm,1.2694mm,2.53958mm,1.2694mm">
                <w:txbxContent>
                  <w:p w14:paraId="43DEBC50" w14:textId="25B2F84D" w:rsidR="00F03CBF" w:rsidRDefault="00000000">
                    <w:pPr>
                      <w:textDirection w:val="btLr"/>
                    </w:pPr>
                    <w:r>
                      <w:rPr>
                        <w:rFonts w:ascii="Arial" w:eastAsia="Arial" w:hAnsi="Arial" w:cs="Arial"/>
                        <w:color w:val="000000"/>
                        <w:sz w:val="18"/>
                      </w:rPr>
                      <w:t xml:space="preserve">Aurelio Brandolini a Napoli. Le lingue della politica e la politica delle lingue </w:t>
                    </w:r>
                    <w:r w:rsidR="00B634C9">
                      <w:rPr>
                        <w:rFonts w:ascii="Arial" w:eastAsia="Arial" w:hAnsi="Arial" w:cs="Arial"/>
                        <w:color w:val="000000"/>
                        <w:sz w:val="18"/>
                      </w:rPr>
                      <w:t>nella</w:t>
                    </w:r>
                    <w:r>
                      <w:rPr>
                        <w:rFonts w:ascii="Arial" w:eastAsia="Arial" w:hAnsi="Arial" w:cs="Arial"/>
                        <w:color w:val="000000"/>
                        <w:sz w:val="18"/>
                      </w:rPr>
                      <w:t xml:space="preserve"> corte di Ferrante d’Aragona</w:t>
                    </w:r>
                  </w:p>
                  <w:p w14:paraId="52EB1ACD" w14:textId="77777777" w:rsidR="00F03CBF" w:rsidRDefault="00F03CBF">
                    <w:pPr>
                      <w:textDirection w:val="btLr"/>
                    </w:pPr>
                  </w:p>
                </w:txbxContent>
              </v:textbox>
            </v:rect>
          </w:pict>
        </mc:Fallback>
      </mc:AlternateContent>
    </w:r>
  </w:p>
  <w:p w14:paraId="3F9C5C37" w14:textId="77777777" w:rsidR="008A6E29" w:rsidRDefault="008A6E29">
    <w:pPr>
      <w:pBdr>
        <w:top w:val="nil"/>
        <w:left w:val="nil"/>
        <w:bottom w:val="nil"/>
        <w:right w:val="nil"/>
        <w:between w:val="nil"/>
      </w:pBdr>
      <w:tabs>
        <w:tab w:val="center" w:pos="4320"/>
        <w:tab w:val="right" w:pos="8640"/>
      </w:tabs>
      <w:ind w:left="170" w:hanging="170"/>
      <w:jc w:val="right"/>
      <w:rPr>
        <w:rFonts w:ascii="Times New Roman" w:eastAsia="Times New Roman" w:hAnsi="Times New Roman" w:cs="Times New Roman"/>
        <w:color w:val="000000"/>
        <w:sz w:val="24"/>
        <w:szCs w:val="24"/>
      </w:rPr>
    </w:pPr>
  </w:p>
  <w:p w14:paraId="6C8A9174" w14:textId="77777777" w:rsidR="008A6E29" w:rsidRDefault="008A6E29">
    <w:pPr>
      <w:pBdr>
        <w:top w:val="nil"/>
        <w:left w:val="nil"/>
        <w:bottom w:val="nil"/>
        <w:right w:val="nil"/>
        <w:between w:val="nil"/>
      </w:pBdr>
      <w:tabs>
        <w:tab w:val="center" w:pos="4320"/>
        <w:tab w:val="right" w:pos="8640"/>
      </w:tabs>
      <w:ind w:left="170" w:hanging="170"/>
      <w:jc w:val="right"/>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3ADF" w14:textId="77777777" w:rsidR="008A6E29" w:rsidRDefault="00000000">
    <w:pPr>
      <w:pBdr>
        <w:top w:val="nil"/>
        <w:left w:val="nil"/>
        <w:bottom w:val="nil"/>
        <w:right w:val="nil"/>
        <w:between w:val="nil"/>
      </w:pBdr>
      <w:tabs>
        <w:tab w:val="center" w:pos="4320"/>
        <w:tab w:val="right" w:pos="8640"/>
      </w:tabs>
      <w:ind w:left="170" w:hanging="170"/>
      <w:rPr>
        <w:rFonts w:ascii="Arial" w:eastAsia="Arial" w:hAnsi="Arial" w:cs="Arial"/>
        <w:color w:val="000000"/>
        <w:sz w:val="18"/>
        <w:szCs w:val="18"/>
      </w:rPr>
    </w:pPr>
    <w:r>
      <w:rPr>
        <w:rFonts w:ascii="Arial" w:eastAsia="Arial" w:hAnsi="Arial" w:cs="Arial"/>
        <w:color w:val="000000"/>
        <w:sz w:val="18"/>
        <w:szCs w:val="18"/>
      </w:rPr>
      <w:t>Lingue e Linguaggi</w:t>
    </w:r>
  </w:p>
  <w:p w14:paraId="6B923415" w14:textId="77777777" w:rsidR="008A6E29" w:rsidRDefault="00000000">
    <w:pPr>
      <w:pBdr>
        <w:top w:val="nil"/>
        <w:left w:val="nil"/>
        <w:bottom w:val="nil"/>
        <w:right w:val="nil"/>
        <w:between w:val="nil"/>
      </w:pBdr>
      <w:tabs>
        <w:tab w:val="center" w:pos="4320"/>
        <w:tab w:val="right" w:pos="8640"/>
      </w:tabs>
      <w:ind w:left="170" w:hanging="170"/>
      <w:rPr>
        <w:rFonts w:ascii="Arial" w:eastAsia="Arial" w:hAnsi="Arial" w:cs="Arial"/>
        <w:color w:val="000000"/>
        <w:sz w:val="16"/>
        <w:szCs w:val="16"/>
      </w:rPr>
    </w:pPr>
    <w:r>
      <w:rPr>
        <w:rFonts w:ascii="Arial" w:eastAsia="Arial" w:hAnsi="Arial" w:cs="Arial"/>
        <w:color w:val="000000"/>
        <w:sz w:val="16"/>
        <w:szCs w:val="16"/>
      </w:rPr>
      <w:t>Lingue Linguaggi xx (</w:t>
    </w:r>
    <w:proofErr w:type="spellStart"/>
    <w:r>
      <w:rPr>
        <w:rFonts w:ascii="Arial" w:eastAsia="Arial" w:hAnsi="Arial" w:cs="Arial"/>
        <w:color w:val="000000"/>
        <w:sz w:val="16"/>
        <w:szCs w:val="16"/>
      </w:rPr>
      <w:t>xxxx</w:t>
    </w:r>
    <w:proofErr w:type="spellEnd"/>
    <w:r>
      <w:rPr>
        <w:rFonts w:ascii="Arial" w:eastAsia="Arial" w:hAnsi="Arial" w:cs="Arial"/>
        <w:color w:val="000000"/>
        <w:sz w:val="16"/>
        <w:szCs w:val="16"/>
      </w:rPr>
      <w:t xml:space="preserve">), </w:t>
    </w:r>
    <w:r>
      <w:rPr>
        <w:rFonts w:ascii="Arial" w:eastAsia="Arial" w:hAnsi="Arial" w:cs="Arial"/>
        <w:color w:val="000000"/>
        <w:sz w:val="16"/>
        <w:szCs w:val="16"/>
        <w:highlight w:val="yellow"/>
      </w:rPr>
      <w:t>x-xx</w:t>
    </w:r>
  </w:p>
  <w:p w14:paraId="62E4F6DF" w14:textId="77777777" w:rsidR="008A6E29" w:rsidRDefault="00000000">
    <w:pPr>
      <w:pBdr>
        <w:top w:val="nil"/>
        <w:left w:val="nil"/>
        <w:bottom w:val="nil"/>
        <w:right w:val="nil"/>
        <w:between w:val="nil"/>
      </w:pBdr>
      <w:tabs>
        <w:tab w:val="center" w:pos="4320"/>
        <w:tab w:val="right" w:pos="8640"/>
      </w:tabs>
      <w:ind w:left="170" w:hanging="170"/>
      <w:rPr>
        <w:rFonts w:ascii="Arial" w:eastAsia="Arial" w:hAnsi="Arial" w:cs="Arial"/>
        <w:color w:val="000000"/>
        <w:sz w:val="16"/>
        <w:szCs w:val="16"/>
      </w:rPr>
    </w:pPr>
    <w:r>
      <w:rPr>
        <w:rFonts w:ascii="Arial" w:eastAsia="Arial" w:hAnsi="Arial" w:cs="Arial"/>
        <w:color w:val="000000"/>
        <w:sz w:val="16"/>
        <w:szCs w:val="16"/>
      </w:rPr>
      <w:t>ISSN 2239-0367, e-ISSN 2239-0359</w:t>
    </w:r>
  </w:p>
  <w:p w14:paraId="04DFC2ED" w14:textId="77777777" w:rsidR="008A6E29" w:rsidRDefault="00000000">
    <w:pPr>
      <w:pBdr>
        <w:top w:val="nil"/>
        <w:left w:val="nil"/>
        <w:bottom w:val="nil"/>
        <w:right w:val="nil"/>
        <w:between w:val="nil"/>
      </w:pBdr>
      <w:tabs>
        <w:tab w:val="center" w:pos="4320"/>
        <w:tab w:val="right" w:pos="8640"/>
      </w:tabs>
      <w:ind w:left="170" w:hanging="170"/>
      <w:rPr>
        <w:rFonts w:ascii="Arial" w:eastAsia="Arial" w:hAnsi="Arial" w:cs="Arial"/>
        <w:color w:val="000000"/>
        <w:sz w:val="16"/>
        <w:szCs w:val="16"/>
      </w:rPr>
    </w:pPr>
    <w:r>
      <w:rPr>
        <w:rFonts w:ascii="Arial" w:eastAsia="Arial" w:hAnsi="Arial" w:cs="Arial"/>
        <w:color w:val="000000"/>
        <w:sz w:val="16"/>
        <w:szCs w:val="16"/>
      </w:rPr>
      <w:t>DOI 10.1285/i22390359v17p</w:t>
    </w:r>
    <w:r>
      <w:rPr>
        <w:rFonts w:ascii="Arial" w:eastAsia="Arial" w:hAnsi="Arial" w:cs="Arial"/>
        <w:color w:val="000000"/>
        <w:sz w:val="16"/>
        <w:szCs w:val="16"/>
        <w:highlight w:val="yellow"/>
      </w:rPr>
      <w:t>x</w:t>
    </w:r>
  </w:p>
  <w:p w14:paraId="17459F85" w14:textId="77777777" w:rsidR="008A6E29" w:rsidRDefault="00000000">
    <w:pPr>
      <w:pBdr>
        <w:top w:val="nil"/>
        <w:left w:val="nil"/>
        <w:bottom w:val="nil"/>
        <w:right w:val="nil"/>
        <w:between w:val="nil"/>
      </w:pBdr>
      <w:tabs>
        <w:tab w:val="center" w:pos="4320"/>
        <w:tab w:val="right" w:pos="8640"/>
      </w:tabs>
      <w:ind w:left="170" w:hanging="170"/>
      <w:rPr>
        <w:rFonts w:ascii="Arial" w:eastAsia="Arial" w:hAnsi="Arial" w:cs="Arial"/>
        <w:color w:val="000000"/>
        <w:sz w:val="16"/>
        <w:szCs w:val="16"/>
      </w:rPr>
    </w:pPr>
    <w:r>
      <w:rPr>
        <w:rFonts w:ascii="Arial" w:eastAsia="Arial" w:hAnsi="Arial" w:cs="Arial"/>
        <w:color w:val="000000"/>
        <w:sz w:val="16"/>
        <w:szCs w:val="16"/>
      </w:rPr>
      <w:t>http://siba-ese.unisalento.it, © 2016 Università del Salento</w:t>
    </w:r>
  </w:p>
  <w:p w14:paraId="6505653D" w14:textId="77777777" w:rsidR="008A6E29" w:rsidRDefault="008A6E29">
    <w:pPr>
      <w:pBdr>
        <w:top w:val="nil"/>
        <w:left w:val="nil"/>
        <w:bottom w:val="nil"/>
        <w:right w:val="nil"/>
        <w:between w:val="nil"/>
      </w:pBdr>
      <w:tabs>
        <w:tab w:val="center" w:pos="4320"/>
        <w:tab w:val="right" w:pos="8640"/>
      </w:tabs>
      <w:ind w:left="170" w:hanging="170"/>
      <w:rPr>
        <w:rFonts w:ascii="Arial" w:eastAsia="Arial" w:hAnsi="Arial" w:cs="Arial"/>
        <w:color w:val="000000"/>
        <w:sz w:val="16"/>
        <w:szCs w:val="16"/>
      </w:rPr>
    </w:pPr>
  </w:p>
  <w:p w14:paraId="1B09D0A5" w14:textId="77777777" w:rsidR="008A6E29" w:rsidRDefault="008A6E29">
    <w:pPr>
      <w:pBdr>
        <w:top w:val="nil"/>
        <w:left w:val="nil"/>
        <w:bottom w:val="nil"/>
        <w:right w:val="nil"/>
        <w:between w:val="nil"/>
      </w:pBdr>
      <w:tabs>
        <w:tab w:val="center" w:pos="4320"/>
        <w:tab w:val="right" w:pos="8640"/>
      </w:tabs>
      <w:ind w:left="170" w:hanging="170"/>
      <w:rPr>
        <w:rFonts w:ascii="Arial" w:eastAsia="Arial" w:hAnsi="Arial" w:cs="Arial"/>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E29"/>
    <w:rsid w:val="00045121"/>
    <w:rsid w:val="00212187"/>
    <w:rsid w:val="002E2062"/>
    <w:rsid w:val="002F10D9"/>
    <w:rsid w:val="003222D4"/>
    <w:rsid w:val="00372979"/>
    <w:rsid w:val="003D6B4C"/>
    <w:rsid w:val="003F77C2"/>
    <w:rsid w:val="00536C56"/>
    <w:rsid w:val="00536D50"/>
    <w:rsid w:val="006658DD"/>
    <w:rsid w:val="006931BD"/>
    <w:rsid w:val="0080593B"/>
    <w:rsid w:val="008A6E29"/>
    <w:rsid w:val="00912A9C"/>
    <w:rsid w:val="00962425"/>
    <w:rsid w:val="00995CB3"/>
    <w:rsid w:val="00B634C9"/>
    <w:rsid w:val="00C810CE"/>
    <w:rsid w:val="00C85D60"/>
    <w:rsid w:val="00E77EBE"/>
    <w:rsid w:val="00EB1124"/>
    <w:rsid w:val="00F03CBF"/>
    <w:rsid w:val="00F64003"/>
    <w:rsid w:val="00F87BAA"/>
    <w:rsid w:val="00FB09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6A931"/>
  <w15:docId w15:val="{2EFA7E0C-EDC5-42A3-8A00-1BC2BF9E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5D60"/>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ca.ruggio@unisalento.i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358</Words>
  <Characters>2041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 Ruggio</cp:lastModifiedBy>
  <cp:revision>26</cp:revision>
  <dcterms:created xsi:type="dcterms:W3CDTF">2024-01-30T08:56:00Z</dcterms:created>
  <dcterms:modified xsi:type="dcterms:W3CDTF">2024-01-30T14:07:00Z</dcterms:modified>
</cp:coreProperties>
</file>